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4242">
      <w:pPr>
        <w:pStyle w:val="Fuentedeprrafopredeter"/>
        <w:widowControl w:val="0"/>
        <w:autoSpaceDE w:val="0"/>
        <w:autoSpaceDN w:val="0"/>
        <w:adjustRightInd w:val="0"/>
        <w:spacing w:after="0" w:line="240" w:lineRule="auto"/>
        <w:ind w:left="1440"/>
        <w:rPr>
          <w:rFonts w:ascii="Times New Roman" w:hAnsi="Times New Roman" w:cs="Times New Roman"/>
          <w:sz w:val="24"/>
          <w:szCs w:val="24"/>
        </w:rPr>
      </w:pPr>
      <w:bookmarkStart w:id="0" w:name="page1"/>
      <w:bookmarkStart w:id="1" w:name="_GoBack"/>
      <w:bookmarkEnd w:id="0"/>
      <w:bookmarkEnd w:id="1"/>
      <w:r>
        <w:rPr>
          <w:noProof/>
        </w:rPr>
        <w:drawing>
          <wp:anchor distT="0" distB="0" distL="114300" distR="114300" simplePos="0" relativeHeight="25165824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9C35BF">
        <w:rPr>
          <w:rFonts w:ascii="Century Gothic" w:hAnsi="Century Gothic" w:cs="Century Gothic"/>
          <w:sz w:val="24"/>
          <w:szCs w:val="24"/>
        </w:rPr>
        <w:t>Comisión Intersecretarial de Bioseguridad de los</w:t>
      </w:r>
    </w:p>
    <w:p w:rsidR="00000000" w:rsidRDefault="009C35BF">
      <w:pPr>
        <w:pStyle w:val="Fuentedeprrafopredeter"/>
        <w:widowControl w:val="0"/>
        <w:autoSpaceDE w:val="0"/>
        <w:autoSpaceDN w:val="0"/>
        <w:adjustRightInd w:val="0"/>
        <w:spacing w:after="0" w:line="238" w:lineRule="auto"/>
        <w:ind w:left="186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9C35BF">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3120"/>
        <w:rPr>
          <w:rFonts w:ascii="Times New Roman" w:hAnsi="Times New Roman" w:cs="Times New Roman"/>
          <w:sz w:val="24"/>
          <w:szCs w:val="24"/>
        </w:rPr>
      </w:pPr>
      <w:r>
        <w:rPr>
          <w:rFonts w:ascii="Century Gothic" w:hAnsi="Century Gothic" w:cs="Century Gothic"/>
          <w:sz w:val="24"/>
          <w:szCs w:val="24"/>
        </w:rPr>
        <w:t>CIBIOGEM, MEXICO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8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1340"/>
        <w:rPr>
          <w:rFonts w:ascii="Times New Roman" w:hAnsi="Times New Roman" w:cs="Times New Roman"/>
          <w:sz w:val="24"/>
          <w:szCs w:val="24"/>
        </w:rPr>
      </w:pPr>
      <w:r>
        <w:rPr>
          <w:rFonts w:ascii="Century Gothic" w:hAnsi="Century Gothic" w:cs="Century Gothic"/>
          <w:b/>
          <w:bCs/>
          <w:sz w:val="32"/>
          <w:szCs w:val="32"/>
        </w:rPr>
        <w:t>Informe de Actividades 2009</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24"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9" w:lineRule="auto"/>
        <w:ind w:right="700"/>
        <w:jc w:val="center"/>
        <w:rPr>
          <w:rFonts w:ascii="Times New Roman" w:hAnsi="Times New Roman" w:cs="Times New Roman"/>
          <w:sz w:val="24"/>
          <w:szCs w:val="24"/>
        </w:rPr>
      </w:pPr>
      <w:r>
        <w:rPr>
          <w:rFonts w:ascii="Century Gothic" w:hAnsi="Century Gothic" w:cs="Century Gothic"/>
          <w:b/>
          <w:bCs/>
          <w:sz w:val="31"/>
          <w:szCs w:val="31"/>
        </w:rPr>
        <w:t>SECRETARÍA EJECUTIVA DE LA COMISIÓN INTERSECRETARIAL DE BIOSEGURIDAD DE LOS ORGANISMOS GENÉTICAMENTE MODIFICADOS</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39" w:lineRule="auto"/>
        <w:ind w:left="3000"/>
        <w:rPr>
          <w:rFonts w:ascii="Times New Roman" w:hAnsi="Times New Roman" w:cs="Times New Roman"/>
          <w:sz w:val="24"/>
          <w:szCs w:val="24"/>
        </w:rPr>
      </w:pPr>
      <w:r>
        <w:rPr>
          <w:rFonts w:ascii="Century Gothic" w:hAnsi="Century Gothic" w:cs="Century Gothic"/>
          <w:b/>
          <w:bCs/>
        </w:rPr>
        <w:t>Contenido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11"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39" w:lineRule="auto"/>
        <w:ind w:left="100"/>
        <w:rPr>
          <w:rFonts w:ascii="Times New Roman" w:hAnsi="Times New Roman" w:cs="Times New Roman"/>
          <w:sz w:val="24"/>
          <w:szCs w:val="24"/>
        </w:rPr>
      </w:pPr>
      <w:r>
        <w:rPr>
          <w:rFonts w:ascii="Century Gothic" w:hAnsi="Century Gothic" w:cs="Century Gothic"/>
          <w:b/>
          <w:bCs/>
        </w:rPr>
        <w:t>Introducción</w:t>
      </w:r>
    </w:p>
    <w:p w:rsidR="00000000" w:rsidRDefault="009C35BF">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426" w:lineRule="auto"/>
        <w:ind w:left="100" w:right="1060" w:hanging="12"/>
        <w:rPr>
          <w:rFonts w:ascii="Times New Roman" w:hAnsi="Times New Roman" w:cs="Times New Roman"/>
          <w:sz w:val="24"/>
          <w:szCs w:val="24"/>
        </w:rPr>
      </w:pPr>
      <w:r>
        <w:rPr>
          <w:rFonts w:ascii="Century Gothic" w:hAnsi="Century Gothic" w:cs="Century Gothic"/>
          <w:b/>
          <w:bCs/>
        </w:rPr>
        <w:t>Sesiones de la CIBIOGEM y sus Órganos Técnicos y Consultivos Programa de Trabajo Bianual de la CIBIOGEM</w:t>
      </w:r>
    </w:p>
    <w:p w:rsidR="00000000" w:rsidRDefault="009C35BF">
      <w:pPr>
        <w:pStyle w:val="Fuentedeprrafopredeter"/>
        <w:widowControl w:val="0"/>
        <w:autoSpaceDE w:val="0"/>
        <w:autoSpaceDN w:val="0"/>
        <w:adjustRightInd w:val="0"/>
        <w:spacing w:after="0" w:line="12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2" w:lineRule="auto"/>
        <w:ind w:left="2080" w:hanging="1973"/>
        <w:jc w:val="both"/>
        <w:rPr>
          <w:rFonts w:ascii="Times New Roman" w:hAnsi="Times New Roman" w:cs="Times New Roman"/>
          <w:sz w:val="24"/>
          <w:szCs w:val="24"/>
        </w:rPr>
      </w:pPr>
      <w:r>
        <w:rPr>
          <w:rFonts w:ascii="Century Gothic" w:hAnsi="Century Gothic" w:cs="Century Gothic"/>
        </w:rPr>
        <w:t>Objetivo General 1. Fomentar y desarrollar la investigación para atender la problemática nacional en materia de bioseguridad y biotecnología.</w:t>
      </w:r>
    </w:p>
    <w:p w:rsidR="00000000" w:rsidRDefault="009C35BF">
      <w:pPr>
        <w:pStyle w:val="Fuentedeprrafopredeter"/>
        <w:widowControl w:val="0"/>
        <w:autoSpaceDE w:val="0"/>
        <w:autoSpaceDN w:val="0"/>
        <w:adjustRightInd w:val="0"/>
        <w:spacing w:after="0" w:line="27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100"/>
        <w:rPr>
          <w:rFonts w:ascii="Times New Roman" w:hAnsi="Times New Roman" w:cs="Times New Roman"/>
          <w:sz w:val="24"/>
          <w:szCs w:val="24"/>
        </w:rPr>
      </w:pPr>
      <w:r>
        <w:rPr>
          <w:rFonts w:ascii="Century Gothic" w:hAnsi="Century Gothic" w:cs="Century Gothic"/>
        </w:rPr>
        <w:t>Objetivo General 2. Información y difusión.</w:t>
      </w:r>
    </w:p>
    <w:p w:rsidR="00000000" w:rsidRDefault="009C35BF">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3" w:lineRule="auto"/>
        <w:ind w:left="2080" w:hanging="1973"/>
        <w:jc w:val="both"/>
        <w:rPr>
          <w:rFonts w:ascii="Times New Roman" w:hAnsi="Times New Roman" w:cs="Times New Roman"/>
          <w:sz w:val="24"/>
          <w:szCs w:val="24"/>
        </w:rPr>
      </w:pPr>
      <w:r>
        <w:rPr>
          <w:rFonts w:ascii="Century Gothic" w:hAnsi="Century Gothic" w:cs="Century Gothic"/>
        </w:rPr>
        <w:t>Objetivo General 3. Coordinación, seguimiento y gestión comprometida</w:t>
      </w:r>
      <w:r>
        <w:rPr>
          <w:rFonts w:ascii="Century Gothic" w:hAnsi="Century Gothic" w:cs="Century Gothic"/>
        </w:rPr>
        <w:t>.</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3" w:lineRule="auto"/>
        <w:ind w:left="2080" w:hanging="1973"/>
        <w:jc w:val="both"/>
        <w:rPr>
          <w:rFonts w:ascii="Times New Roman" w:hAnsi="Times New Roman" w:cs="Times New Roman"/>
          <w:sz w:val="24"/>
          <w:szCs w:val="24"/>
        </w:rPr>
      </w:pPr>
      <w:r>
        <w:rPr>
          <w:rFonts w:ascii="Century Gothic" w:hAnsi="Century Gothic" w:cs="Century Gothic"/>
        </w:rPr>
        <w:t>Objetivo General 4. Fortalecimiento e implementación del marco regulatorio.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6"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7640"/>
        <w:rPr>
          <w:rFonts w:ascii="Times New Roman" w:hAnsi="Times New Roman" w:cs="Times New Roman"/>
          <w:sz w:val="24"/>
          <w:szCs w:val="24"/>
        </w:rPr>
      </w:pPr>
      <w:r>
        <w:rPr>
          <w:rFonts w:ascii="Times New Roman" w:hAnsi="Times New Roman" w:cs="Times New Roman"/>
          <w:sz w:val="24"/>
          <w:szCs w:val="24"/>
        </w:rPr>
        <w:t>1</w:t>
      </w:r>
    </w:p>
    <w:p w:rsidR="00000000" w:rsidRDefault="009C35BF">
      <w:pP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2320" w:header="720" w:footer="720" w:gutter="0"/>
          <w:cols w:space="720" w:equalWidth="0">
            <w:col w:w="7840"/>
          </w:cols>
          <w:noEndnote/>
        </w:sectPr>
      </w:pPr>
    </w:p>
    <w:p w:rsidR="00000000" w:rsidRDefault="009B4242">
      <w:pPr>
        <w:pStyle w:val="Fuentedeprrafopredeter"/>
        <w:widowControl w:val="0"/>
        <w:autoSpaceDE w:val="0"/>
        <w:autoSpaceDN w:val="0"/>
        <w:adjustRightInd w:val="0"/>
        <w:spacing w:after="0" w:line="240" w:lineRule="auto"/>
        <w:ind w:left="2060"/>
        <w:rPr>
          <w:rFonts w:ascii="Times New Roman" w:hAnsi="Times New Roman" w:cs="Times New Roman"/>
          <w:sz w:val="24"/>
          <w:szCs w:val="24"/>
        </w:rPr>
      </w:pPr>
      <w:bookmarkStart w:id="2" w:name="page2"/>
      <w:bookmarkEnd w:id="2"/>
      <w:r>
        <w:rPr>
          <w:noProof/>
        </w:rPr>
        <w:lastRenderedPageBreak/>
        <w:drawing>
          <wp:anchor distT="0" distB="0" distL="114300" distR="114300" simplePos="0" relativeHeight="251660288"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9C35BF">
        <w:rPr>
          <w:rFonts w:ascii="Century Gothic" w:hAnsi="Century Gothic" w:cs="Century Gothic"/>
          <w:sz w:val="24"/>
          <w:szCs w:val="24"/>
        </w:rPr>
        <w:t>Comisión Intersecretarial de Bioseguridad de los</w:t>
      </w:r>
    </w:p>
    <w:p w:rsidR="00000000" w:rsidRDefault="009C35BF">
      <w:pPr>
        <w:pStyle w:val="Fuentedeprrafopredeter"/>
        <w:widowControl w:val="0"/>
        <w:autoSpaceDE w:val="0"/>
        <w:autoSpaceDN w:val="0"/>
        <w:adjustRightInd w:val="0"/>
        <w:spacing w:after="0" w:line="238" w:lineRule="auto"/>
        <w:ind w:left="248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9C35BF">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3740"/>
        <w:rPr>
          <w:rFonts w:ascii="Times New Roman" w:hAnsi="Times New Roman" w:cs="Times New Roman"/>
          <w:sz w:val="24"/>
          <w:szCs w:val="24"/>
        </w:rPr>
      </w:pPr>
      <w:r>
        <w:rPr>
          <w:rFonts w:ascii="Century Gothic" w:hAnsi="Century Gothic" w:cs="Century Gothic"/>
          <w:sz w:val="24"/>
          <w:szCs w:val="24"/>
        </w:rPr>
        <w:t>CIBIOGEM, MEXICO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76"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39" w:lineRule="auto"/>
        <w:ind w:left="360"/>
        <w:rPr>
          <w:rFonts w:ascii="Times New Roman" w:hAnsi="Times New Roman" w:cs="Times New Roman"/>
          <w:sz w:val="24"/>
          <w:szCs w:val="24"/>
        </w:rPr>
      </w:pPr>
      <w:r>
        <w:rPr>
          <w:rFonts w:ascii="Century Gothic" w:hAnsi="Century Gothic" w:cs="Century Gothic"/>
          <w:b/>
          <w:bCs/>
        </w:rPr>
        <w:t>Introducción</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La Secretaría Ejecutiva de la Comisión Intersecretarial de Bioseguridad de los Organismos Genéticamente Modificados (CIBIOGEM) presenta a los miembros de la Comisión, su informe de actividades correspondiente al año 2009.</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La estructura del informe se ajus</w:t>
      </w:r>
      <w:r>
        <w:rPr>
          <w:rFonts w:ascii="Century Gothic" w:hAnsi="Century Gothic" w:cs="Century Gothic"/>
        </w:rPr>
        <w:t>ta a los Objetivos Generales contenidos en el Programa de Trabajo Bianual de la CIBIOGEM. Adicionalmente este informe se ha elaborado con base en las facultades y obligaciones que la legislación aplicable en materia de bioseguridad le confiere a la Secreta</w:t>
      </w:r>
      <w:r>
        <w:rPr>
          <w:rFonts w:ascii="Century Gothic" w:hAnsi="Century Gothic" w:cs="Century Gothic"/>
        </w:rPr>
        <w:t>ría Ejecutiva de CIBIOGEM.</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De igual manera, contiene las actividades realizadas en cumplimiento a los acuerdos asumidos en el seno de la CIBIOGEM, así como las efectuadas con el fin de dar cumplimento a lo dispuesto por el artículo 10 del Reglamento de la</w:t>
      </w:r>
      <w:r>
        <w:rPr>
          <w:rFonts w:ascii="Century Gothic" w:hAnsi="Century Gothic" w:cs="Century Gothic"/>
        </w:rPr>
        <w:t xml:space="preserve"> CIBIOGEM, que establece las atribuciones que le competen al Secretario Ejecutivo.</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El presente informe abarca del 1º de enero al 31 de diciembre de de 2009, por lo que se reportan los logros alcanzados en este periodo, así como los avances en diferentes a</w:t>
      </w:r>
      <w:r>
        <w:rPr>
          <w:rFonts w:ascii="Century Gothic" w:hAnsi="Century Gothic" w:cs="Century Gothic"/>
        </w:rPr>
        <w:t>ctividades.</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41"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39" w:lineRule="auto"/>
        <w:ind w:left="360"/>
        <w:rPr>
          <w:rFonts w:ascii="Times New Roman" w:hAnsi="Times New Roman" w:cs="Times New Roman"/>
          <w:sz w:val="24"/>
          <w:szCs w:val="24"/>
        </w:rPr>
      </w:pPr>
      <w:r>
        <w:rPr>
          <w:rFonts w:ascii="Century Gothic" w:hAnsi="Century Gothic" w:cs="Century Gothic"/>
          <w:b/>
          <w:bCs/>
        </w:rPr>
        <w:t>Sesiones de la CIBIOGEM y sus Órganos Técnicos y Consultivos</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En la Primera Sesión Ordinaria de 2009 de la CIBIOGEM, celebrada el 19 de febrero, el Titular de la SAGARPA tomó posesión del cargo de Presidente de la Comisión, en cumplimiento de</w:t>
      </w:r>
      <w:r>
        <w:rPr>
          <w:rFonts w:ascii="Century Gothic" w:hAnsi="Century Gothic" w:cs="Century Gothic"/>
        </w:rPr>
        <w:t xml:space="preserve"> lo dispuesto por los artículos 19 fracción II de la LBOGM y 7 del Reglamento de la CIBIOGEM.</w:t>
      </w:r>
    </w:p>
    <w:p w:rsidR="00000000" w:rsidRDefault="009C35BF">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En el año 2009 el Presidente de la CIBIOGEM convocó, por conducto del Secretario Ejecutivo, a cuatro sesiones ordinarias y una extraordinaria. Estas</w:t>
      </w:r>
      <w:r>
        <w:rPr>
          <w:rFonts w:ascii="Century Gothic" w:hAnsi="Century Gothic" w:cs="Century Gothic"/>
        </w:rPr>
        <w:t xml:space="preserve"> sesiones generaron un total de 54 acuerdos, de los cuales se ha dado cumplimiento a 18, 27 no requieren seguimiento, uno se canceló y ocho están aún en proceso de cumplimiento.</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Century Gothic" w:hAnsi="Century Gothic" w:cs="Century Gothic"/>
        </w:rPr>
        <w:t>En el período que se reporta, la Secretaría Ejecutiva organizó, convocó y Pre</w:t>
      </w:r>
      <w:r>
        <w:rPr>
          <w:rFonts w:ascii="Century Gothic" w:hAnsi="Century Gothic" w:cs="Century Gothic"/>
        </w:rPr>
        <w:t>sidió cinco Sesiones Ordinarias del Comité Técnico, entre otros temas, los asuntos tratados en la CIBIOGEM, fueron previamente analizados por este Órgano Colegiado, incluido el Programa de Trabajo Bianual 2009-2010.</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61"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2</w:t>
      </w: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9B4242">
      <w:pPr>
        <w:pStyle w:val="Fuentedeprrafopredeter"/>
        <w:widowControl w:val="0"/>
        <w:autoSpaceDE w:val="0"/>
        <w:autoSpaceDN w:val="0"/>
        <w:adjustRightInd w:val="0"/>
        <w:spacing w:after="0" w:line="240" w:lineRule="auto"/>
        <w:ind w:left="2060"/>
        <w:rPr>
          <w:rFonts w:ascii="Times New Roman" w:hAnsi="Times New Roman" w:cs="Times New Roman"/>
          <w:sz w:val="24"/>
          <w:szCs w:val="24"/>
        </w:rPr>
      </w:pPr>
      <w:bookmarkStart w:id="3" w:name="page3"/>
      <w:bookmarkEnd w:id="3"/>
      <w:r>
        <w:rPr>
          <w:noProof/>
        </w:rPr>
        <w:lastRenderedPageBreak/>
        <w:drawing>
          <wp:anchor distT="0" distB="0" distL="114300" distR="114300" simplePos="0" relativeHeight="25166233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9C35BF">
        <w:rPr>
          <w:rFonts w:ascii="Century Gothic" w:hAnsi="Century Gothic" w:cs="Century Gothic"/>
          <w:sz w:val="24"/>
          <w:szCs w:val="24"/>
        </w:rPr>
        <w:t>Comisión Intersecretarial de Bioseguridad de los</w:t>
      </w:r>
    </w:p>
    <w:p w:rsidR="00000000" w:rsidRDefault="009C35BF">
      <w:pPr>
        <w:pStyle w:val="Fuentedeprrafopredeter"/>
        <w:widowControl w:val="0"/>
        <w:autoSpaceDE w:val="0"/>
        <w:autoSpaceDN w:val="0"/>
        <w:adjustRightInd w:val="0"/>
        <w:spacing w:after="0" w:line="238" w:lineRule="auto"/>
        <w:ind w:left="248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9C35BF">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3740"/>
        <w:rPr>
          <w:rFonts w:ascii="Times New Roman" w:hAnsi="Times New Roman" w:cs="Times New Roman"/>
          <w:sz w:val="24"/>
          <w:szCs w:val="24"/>
        </w:rPr>
      </w:pPr>
      <w:r>
        <w:rPr>
          <w:rFonts w:ascii="Century Gothic" w:hAnsi="Century Gothic" w:cs="Century Gothic"/>
          <w:sz w:val="24"/>
          <w:szCs w:val="24"/>
        </w:rPr>
        <w:t>CIBIOGEM, MEXICO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Consejo Consultivo Científico (CCC) de la CIBIOGEM, sesionó 5 ocasiones, acordó en su Tercera Sesión Ordinaria cuatro líneas de investigación prioritarias relacionadas con el maíz transgénico, mismas que fueron Presentadas a la CIBIOGEM en su Segunda Sesió</w:t>
      </w:r>
      <w:r>
        <w:rPr>
          <w:rFonts w:ascii="Century Gothic" w:hAnsi="Century Gothic" w:cs="Century Gothic"/>
        </w:rPr>
        <w:t>n Ordinaria. El Pleno solicitó al CCC que elabore los términos de referencia de cada una de las líneas de investigación propuestas, para su posible financiamiento con recursos del FONDO-CIBIOGEM.</w:t>
      </w:r>
    </w:p>
    <w:p w:rsidR="00000000" w:rsidRDefault="009C35BF">
      <w:pPr>
        <w:pStyle w:val="Fuentedeprrafopredeter"/>
        <w:widowControl w:val="0"/>
        <w:autoSpaceDE w:val="0"/>
        <w:autoSpaceDN w:val="0"/>
        <w:adjustRightInd w:val="0"/>
        <w:spacing w:after="0" w:line="335"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El Consejo Consultivo Mixto (CCM) de la CIBIOGEM, Órgano Co</w:t>
      </w:r>
      <w:r>
        <w:rPr>
          <w:rFonts w:ascii="Century Gothic" w:hAnsi="Century Gothic" w:cs="Century Gothic"/>
        </w:rPr>
        <w:t>legiado que integra a los sectores social, productivo y privado, sesionó en 4 ocasiones durante 2009. Adicionalmente el Presidente de la CIBIOGEM también convocó al CCM a una reunión de trabajo para que presentara sus inquietudes en materia de bioseguridad</w:t>
      </w:r>
      <w:r>
        <w:rPr>
          <w:rFonts w:ascii="Century Gothic" w:hAnsi="Century Gothic" w:cs="Century Gothic"/>
        </w:rPr>
        <w:t xml:space="preserve"> de OGMs, para ser incluidos en el Programa de Trabajo Bianual de esa Comisión. En el año que se reporta fueron renovados 4 de los integrantes del CCM.</w:t>
      </w:r>
    </w:p>
    <w:p w:rsidR="00000000" w:rsidRDefault="009C35BF">
      <w:pPr>
        <w:pStyle w:val="Fuentedeprrafopredeter"/>
        <w:widowControl w:val="0"/>
        <w:autoSpaceDE w:val="0"/>
        <w:autoSpaceDN w:val="0"/>
        <w:adjustRightInd w:val="0"/>
        <w:spacing w:after="0" w:line="274"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39" w:lineRule="auto"/>
        <w:ind w:left="360"/>
        <w:rPr>
          <w:rFonts w:ascii="Times New Roman" w:hAnsi="Times New Roman" w:cs="Times New Roman"/>
          <w:sz w:val="24"/>
          <w:szCs w:val="24"/>
        </w:rPr>
      </w:pPr>
      <w:r>
        <w:rPr>
          <w:rFonts w:ascii="Century Gothic" w:hAnsi="Century Gothic" w:cs="Century Gothic"/>
          <w:b/>
          <w:bCs/>
        </w:rPr>
        <w:t>Programa de Trabajo Bianual de la CIBIOGEM</w:t>
      </w:r>
    </w:p>
    <w:p w:rsidR="00000000" w:rsidRDefault="009C35BF">
      <w:pPr>
        <w:pStyle w:val="Fuentedeprrafopredeter"/>
        <w:widowControl w:val="0"/>
        <w:autoSpaceDE w:val="0"/>
        <w:autoSpaceDN w:val="0"/>
        <w:adjustRightInd w:val="0"/>
        <w:spacing w:after="0" w:line="328"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rPr>
        <w:t>En la Primera Sesión Ordinaria de 2009 de la Comisión, se presentó el proyecto de Programa de Trabajo Bianual 2009-2010 de la CIBIOGEM, elaborado por la Secretaría Ejecutiva por iniciativa y por instrucciones del Presidente de la Comisión. En la Sesión Ext</w:t>
      </w:r>
      <w:r>
        <w:rPr>
          <w:rFonts w:ascii="Century Gothic" w:hAnsi="Century Gothic" w:cs="Century Gothic"/>
        </w:rPr>
        <w:t>raordinaria de la CIBIOGEM, se aprobó por el Pleno, el Programa de Trabajo Bianual 2009-2010, el cual consta de 4 Objetivos Generales, encaminados al fomento a la investigación; información y difusión; coordinación y seguimiento de acciones; y al fortaleci</w:t>
      </w:r>
      <w:r>
        <w:rPr>
          <w:rFonts w:ascii="Century Gothic" w:hAnsi="Century Gothic" w:cs="Century Gothic"/>
        </w:rPr>
        <w:t>miento del marco regulatorio, en materia de bioseguridad de los OGMs.</w:t>
      </w:r>
    </w:p>
    <w:p w:rsidR="00000000" w:rsidRDefault="009C35BF">
      <w:pPr>
        <w:pStyle w:val="Fuentedeprrafopredeter"/>
        <w:widowControl w:val="0"/>
        <w:autoSpaceDE w:val="0"/>
        <w:autoSpaceDN w:val="0"/>
        <w:adjustRightInd w:val="0"/>
        <w:spacing w:after="0" w:line="334"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Este Programa de Trabajo Bianual refleja a su vez, las actividades que emanan del Programa para el Desarrollo de la Bioseguridad y la Biotecnología, contenido en el Programa Especial de</w:t>
      </w:r>
      <w:r>
        <w:rPr>
          <w:rFonts w:ascii="Century Gothic" w:hAnsi="Century Gothic" w:cs="Century Gothic"/>
        </w:rPr>
        <w:t xml:space="preserve"> Ciencia, Tecnología e Innovación (PECITI), y tiene, entre otros, el propósito de contar con una guía que oriente los trabajos de la Comisión de manera ordenada y coordinada, durante el periodo de dos años que es el tiempo que dura la Presidencia de la CIB</w:t>
      </w:r>
      <w:r>
        <w:rPr>
          <w:rFonts w:ascii="Century Gothic" w:hAnsi="Century Gothic" w:cs="Century Gothic"/>
        </w:rPr>
        <w:t>IOGEM en cada uno de los tres titulares de la Secretarías que ostentan dicha función.</w:t>
      </w:r>
    </w:p>
    <w:p w:rsidR="00000000" w:rsidRDefault="009C35BF">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En el presente informe se destacan las actividades relevantes desarrolladas por la Secretaría Ejecutiva en colaboración con los órganos técnicos y consultivos de la CIBI</w:t>
      </w:r>
      <w:r>
        <w:rPr>
          <w:rFonts w:ascii="Century Gothic" w:hAnsi="Century Gothic" w:cs="Century Gothic"/>
        </w:rPr>
        <w:t>OGEM, en concordancia con los objetivos generales del Programa de Trabajo Bianual 2009-2010.</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34"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3</w:t>
      </w: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9B4242">
      <w:pPr>
        <w:pStyle w:val="Fuentedeprrafopredeter"/>
        <w:widowControl w:val="0"/>
        <w:autoSpaceDE w:val="0"/>
        <w:autoSpaceDN w:val="0"/>
        <w:adjustRightInd w:val="0"/>
        <w:spacing w:after="0" w:line="240" w:lineRule="auto"/>
        <w:ind w:left="2060"/>
        <w:rPr>
          <w:rFonts w:ascii="Times New Roman" w:hAnsi="Times New Roman" w:cs="Times New Roman"/>
          <w:sz w:val="24"/>
          <w:szCs w:val="24"/>
        </w:rPr>
      </w:pPr>
      <w:bookmarkStart w:id="4" w:name="page4"/>
      <w:bookmarkEnd w:id="4"/>
      <w:r>
        <w:rPr>
          <w:noProof/>
        </w:rPr>
        <w:lastRenderedPageBreak/>
        <w:drawing>
          <wp:anchor distT="0" distB="0" distL="114300" distR="114300" simplePos="0" relativeHeight="25166438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9C35BF">
        <w:rPr>
          <w:rFonts w:ascii="Century Gothic" w:hAnsi="Century Gothic" w:cs="Century Gothic"/>
          <w:sz w:val="24"/>
          <w:szCs w:val="24"/>
        </w:rPr>
        <w:t>Comisión Intersecretarial de Bioseguridad de los</w:t>
      </w:r>
    </w:p>
    <w:p w:rsidR="00000000" w:rsidRDefault="009C35BF">
      <w:pPr>
        <w:pStyle w:val="Fuentedeprrafopredeter"/>
        <w:widowControl w:val="0"/>
        <w:autoSpaceDE w:val="0"/>
        <w:autoSpaceDN w:val="0"/>
        <w:adjustRightInd w:val="0"/>
        <w:spacing w:after="0" w:line="238" w:lineRule="auto"/>
        <w:ind w:left="248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9C35BF">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3740"/>
        <w:rPr>
          <w:rFonts w:ascii="Times New Roman" w:hAnsi="Times New Roman" w:cs="Times New Roman"/>
          <w:sz w:val="24"/>
          <w:szCs w:val="24"/>
        </w:rPr>
      </w:pPr>
      <w:r>
        <w:rPr>
          <w:rFonts w:ascii="Century Gothic" w:hAnsi="Century Gothic" w:cs="Century Gothic"/>
          <w:sz w:val="24"/>
          <w:szCs w:val="24"/>
        </w:rPr>
        <w:t>CIBIOGEM, MEXICO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35"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2" w:lineRule="auto"/>
        <w:ind w:left="2700" w:hanging="1973"/>
        <w:jc w:val="both"/>
        <w:rPr>
          <w:rFonts w:ascii="Times New Roman" w:hAnsi="Times New Roman" w:cs="Times New Roman"/>
          <w:sz w:val="24"/>
          <w:szCs w:val="24"/>
        </w:rPr>
      </w:pPr>
      <w:r>
        <w:rPr>
          <w:rFonts w:ascii="Century Gothic" w:hAnsi="Century Gothic" w:cs="Century Gothic"/>
          <w:b/>
          <w:bCs/>
        </w:rPr>
        <w:t>Objetivo General 1. Fomentar y desarrollar la investigación para atender la problemática nacional en materia de bioseguridad y biotecnología.</w:t>
      </w:r>
    </w:p>
    <w:p w:rsidR="00000000" w:rsidRDefault="009C35BF">
      <w:pPr>
        <w:pStyle w:val="Fuentedeprrafopredeter"/>
        <w:widowControl w:val="0"/>
        <w:autoSpaceDE w:val="0"/>
        <w:autoSpaceDN w:val="0"/>
        <w:adjustRightInd w:val="0"/>
        <w:spacing w:after="0" w:line="332"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La Secretaría Ejecutiva en coordinación con la Dirección Jurídica del CONACYT elaboró las Reglas de Operación del FONDO-CIBIOGEM, mismas que fueron aprobadas por la Junta de Gobierno del CONACYT. Así mismo se elaboró el Convenio Modificatorio para que en l</w:t>
      </w:r>
      <w:r>
        <w:rPr>
          <w:rFonts w:ascii="Century Gothic" w:hAnsi="Century Gothic" w:cs="Century Gothic"/>
        </w:rPr>
        <w:t>o sucesivo el Fideicomiso denominado FIBIO, operé como El Fondo para el Fomento y Apoyo a la Investigación Científica y Tecnológica en Bioseguridad y Biotecnología (FONDO-CIBIOGEM).</w:t>
      </w:r>
    </w:p>
    <w:p w:rsidR="00000000" w:rsidRDefault="009C35BF">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El Comité Técnico y de Administración del FONDO-CIBIOGEM sesionó el 21 de</w:t>
      </w:r>
      <w:r>
        <w:rPr>
          <w:rFonts w:ascii="Century Gothic" w:hAnsi="Century Gothic" w:cs="Century Gothic"/>
        </w:rPr>
        <w:t xml:space="preserve"> agosto, conforme a la nueva normativa, y aprobó la asignación de los recursos derivados de los respectivos acuerdos de la CIBIOGEM, incluidas, ente otros, las demandas de proyectos de investigación prioritarias en materia de OGMs.</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Century Gothic" w:hAnsi="Century Gothic" w:cs="Century Gothic"/>
        </w:rPr>
        <w:t>En la Segunda Sesión Or</w:t>
      </w:r>
      <w:r>
        <w:rPr>
          <w:rFonts w:ascii="Century Gothic" w:hAnsi="Century Gothic" w:cs="Century Gothic"/>
        </w:rPr>
        <w:t>dinaria de la Comisión, celebrada el 7 de julio de 2009, el Pleno de la CIBIOGEM aprueba la elaboración del proyecto denominado</w:t>
      </w:r>
    </w:p>
    <w:p w:rsidR="00000000" w:rsidRDefault="009C35BF">
      <w:pPr>
        <w:pStyle w:val="Fuentedeprrafopredeter"/>
        <w:widowControl w:val="0"/>
        <w:autoSpaceDE w:val="0"/>
        <w:autoSpaceDN w:val="0"/>
        <w:adjustRightInd w:val="0"/>
        <w:spacing w:after="0" w:line="59"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Century Gothic" w:hAnsi="Century Gothic" w:cs="Century Gothic"/>
        </w:rPr>
        <w:t>“Diagnóstico de la diversidad genética de razas y variedades de maíz nativo para la toma de decisiones y la evaluación de progr</w:t>
      </w:r>
      <w:r>
        <w:rPr>
          <w:rFonts w:ascii="Century Gothic" w:hAnsi="Century Gothic" w:cs="Century Gothic"/>
        </w:rPr>
        <w:t>amas de conservación”.</w:t>
      </w:r>
    </w:p>
    <w:p w:rsidR="00000000" w:rsidRDefault="009C35BF">
      <w:pPr>
        <w:pStyle w:val="Fuentedeprrafopredeter"/>
        <w:widowControl w:val="0"/>
        <w:autoSpaceDE w:val="0"/>
        <w:autoSpaceDN w:val="0"/>
        <w:adjustRightInd w:val="0"/>
        <w:spacing w:after="0" w:line="328"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Century Gothic" w:hAnsi="Century Gothic" w:cs="Century Gothic"/>
        </w:rPr>
        <w:t>Este proyecto deriva de los trabajos realizados en el “Foro sobre conservación para maíces criollos” llevado a cabo en el marco de la Tercera Sesión</w:t>
      </w:r>
    </w:p>
    <w:p w:rsidR="00000000" w:rsidRDefault="009C35BF">
      <w:pPr>
        <w:pStyle w:val="Fuentedeprrafopredeter"/>
        <w:widowControl w:val="0"/>
        <w:autoSpaceDE w:val="0"/>
        <w:autoSpaceDN w:val="0"/>
        <w:adjustRightInd w:val="0"/>
        <w:spacing w:after="0" w:line="59"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Century Gothic" w:hAnsi="Century Gothic" w:cs="Century Gothic"/>
        </w:rPr>
        <w:t>Ordinaria de 2009 del Consejo Consultivo Mixto y con la participaron de expertos e</w:t>
      </w:r>
      <w:r>
        <w:rPr>
          <w:rFonts w:ascii="Century Gothic" w:hAnsi="Century Gothic" w:cs="Century Gothic"/>
        </w:rPr>
        <w:t>n el tema de conservación, quienes opinaron que para poder realizar la conservación del maíz, era necesario contar con la definición de un concepto práctico de conservación y establecer los parámetros que conformarán el modelo para la determinación de prio</w:t>
      </w:r>
      <w:r>
        <w:rPr>
          <w:rFonts w:ascii="Century Gothic" w:hAnsi="Century Gothic" w:cs="Century Gothic"/>
        </w:rPr>
        <w:t>ridades en cuanto a la conservación de razas y variedades mexicanas de maíces nativos. Se determinó que como base para determinar las prioridades de conservación, así como para evaluar los programas de conservación, se debía llevar a cabo un diagnóstico ge</w:t>
      </w:r>
      <w:r>
        <w:rPr>
          <w:rFonts w:ascii="Century Gothic" w:hAnsi="Century Gothic" w:cs="Century Gothic"/>
        </w:rPr>
        <w:t>nético de las diferentes razas de maíz, para establecer los niveles de variabilidad, e identificar alelos raros en las diferentes poblaciones y contar con la definición de un concepto práctico de conservación y a establecer los parámetros que conformarán e</w:t>
      </w:r>
      <w:r>
        <w:rPr>
          <w:rFonts w:ascii="Century Gothic" w:hAnsi="Century Gothic" w:cs="Century Gothic"/>
        </w:rPr>
        <w:t>l modelo para la determinación de prioridades en cuanto a la conservación de razas y variedades mexicanas de maíces nativos. Los entregables de dicho proyecto proporcionarán elementos de gran importancia para el desarrollo y evaluación de las Políticas Púb</w:t>
      </w:r>
      <w:r>
        <w:rPr>
          <w:rFonts w:ascii="Century Gothic" w:hAnsi="Century Gothic" w:cs="Century Gothic"/>
        </w:rPr>
        <w:t>licas relativas a la conservación de maíz.</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04"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4</w:t>
      </w: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9B4242">
      <w:pPr>
        <w:pStyle w:val="Fuentedeprrafopredeter"/>
        <w:widowControl w:val="0"/>
        <w:autoSpaceDE w:val="0"/>
        <w:autoSpaceDN w:val="0"/>
        <w:adjustRightInd w:val="0"/>
        <w:spacing w:after="0" w:line="240" w:lineRule="auto"/>
        <w:ind w:left="2060"/>
        <w:rPr>
          <w:rFonts w:ascii="Times New Roman" w:hAnsi="Times New Roman" w:cs="Times New Roman"/>
          <w:sz w:val="24"/>
          <w:szCs w:val="24"/>
        </w:rPr>
      </w:pPr>
      <w:bookmarkStart w:id="5" w:name="page5"/>
      <w:bookmarkEnd w:id="5"/>
      <w:r>
        <w:rPr>
          <w:noProof/>
        </w:rPr>
        <w:lastRenderedPageBreak/>
        <w:drawing>
          <wp:anchor distT="0" distB="0" distL="114300" distR="114300" simplePos="0" relativeHeight="25166643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9C35BF">
        <w:rPr>
          <w:rFonts w:ascii="Century Gothic" w:hAnsi="Century Gothic" w:cs="Century Gothic"/>
          <w:sz w:val="24"/>
          <w:szCs w:val="24"/>
        </w:rPr>
        <w:t>Comisión Intersecretarial de Bioseguridad de los</w:t>
      </w:r>
    </w:p>
    <w:p w:rsidR="00000000" w:rsidRDefault="009C35BF">
      <w:pPr>
        <w:pStyle w:val="Fuentedeprrafopredeter"/>
        <w:widowControl w:val="0"/>
        <w:autoSpaceDE w:val="0"/>
        <w:autoSpaceDN w:val="0"/>
        <w:adjustRightInd w:val="0"/>
        <w:spacing w:after="0" w:line="238" w:lineRule="auto"/>
        <w:ind w:left="248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9C35BF">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3740"/>
        <w:rPr>
          <w:rFonts w:ascii="Times New Roman" w:hAnsi="Times New Roman" w:cs="Times New Roman"/>
          <w:sz w:val="24"/>
          <w:szCs w:val="24"/>
        </w:rPr>
      </w:pPr>
      <w:r>
        <w:rPr>
          <w:rFonts w:ascii="Century Gothic" w:hAnsi="Century Gothic" w:cs="Century Gothic"/>
          <w:sz w:val="24"/>
          <w:szCs w:val="24"/>
        </w:rPr>
        <w:t>CIBIOGEM, MEXICO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7"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Century Gothic" w:hAnsi="Century Gothic" w:cs="Century Gothic"/>
        </w:rPr>
        <w:t>En la Cuarta Sesi</w:t>
      </w:r>
      <w:r>
        <w:rPr>
          <w:rFonts w:ascii="Century Gothic" w:hAnsi="Century Gothic" w:cs="Century Gothic"/>
        </w:rPr>
        <w:t xml:space="preserve">ón Ordinaria de la CIBIOGEM, a partir de un análisis efectuado por la Secretaría Ejecutiva, relativo al estado que guarda la investigación en México en materia de Bioseguridad y Biotecnología, el Pleno de esa Comisión aprobó la identificación de proyectos </w:t>
      </w:r>
      <w:r>
        <w:rPr>
          <w:rFonts w:ascii="Century Gothic" w:hAnsi="Century Gothic" w:cs="Century Gothic"/>
        </w:rPr>
        <w:t>de investigación llevados a cabo por instituciones de educación superior y centros de investigación nacionales, con productos entregables al corto y mediano plazos, para evaluar su potencial en la resolución de problemas nacionales y su posible financiamie</w:t>
      </w:r>
      <w:r>
        <w:rPr>
          <w:rFonts w:ascii="Century Gothic" w:hAnsi="Century Gothic" w:cs="Century Gothic"/>
        </w:rPr>
        <w:t>nto a través del fondo CIBIOGEM. En seguimiento a este acuerdo la Secretaría Ejecutiva ha desarrollado un mecanismo para la identificación de propuestas de proyectos, para ser presentado al Pleno de la CIBIOGEM.</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47"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39" w:lineRule="auto"/>
        <w:ind w:left="720"/>
        <w:rPr>
          <w:rFonts w:ascii="Times New Roman" w:hAnsi="Times New Roman" w:cs="Times New Roman"/>
          <w:sz w:val="24"/>
          <w:szCs w:val="24"/>
        </w:rPr>
      </w:pPr>
      <w:r>
        <w:rPr>
          <w:rFonts w:ascii="Century Gothic" w:hAnsi="Century Gothic" w:cs="Century Gothic"/>
          <w:b/>
          <w:bCs/>
        </w:rPr>
        <w:t>Objetivo General 2. Información y difusión</w:t>
      </w:r>
      <w:r>
        <w:rPr>
          <w:rFonts w:ascii="Century Gothic" w:hAnsi="Century Gothic" w:cs="Century Gothic"/>
          <w:b/>
          <w:bCs/>
        </w:rPr>
        <w:t>.</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Se ha mantenido y actualizado el Sistema Nacional de Información sobre Bioseguridad así como el Registro Nacional de Bioseguridad de los OGMs, con el apoyo de las instancias competentes.</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rPr>
        <w:t>La Secretaría Ejecutiva de la CIBIOGEM ha desarrollado material i</w:t>
      </w:r>
      <w:r>
        <w:rPr>
          <w:rFonts w:ascii="Century Gothic" w:hAnsi="Century Gothic" w:cs="Century Gothic"/>
        </w:rPr>
        <w:t>nformativo, dirigido a los investigadores del país que llevan a cabo actividades de utilización confinada de OGMs, relativo a la normatividad que deben observar para la presentación de Avisos a la autoridad competente. Dicha información se encuentra dispon</w:t>
      </w:r>
      <w:r>
        <w:rPr>
          <w:rFonts w:ascii="Century Gothic" w:hAnsi="Century Gothic" w:cs="Century Gothic"/>
        </w:rPr>
        <w:t xml:space="preserve">ible en la página web de la CIBIOGEM: </w:t>
      </w:r>
      <w:hyperlink r:id="rId8" w:history="1">
        <w:r>
          <w:rPr>
            <w:rFonts w:ascii="Century Gothic" w:hAnsi="Century Gothic" w:cs="Century Gothic"/>
            <w:color w:val="0000FF"/>
          </w:rPr>
          <w:t xml:space="preserve"> </w:t>
        </w:r>
        <w:r>
          <w:rPr>
            <w:rFonts w:ascii="Century Gothic" w:hAnsi="Century Gothic" w:cs="Century Gothic"/>
            <w:color w:val="0000FF"/>
            <w:u w:val="single"/>
          </w:rPr>
          <w:t>http://www.cibiogem.gob.mx/Docum_interes/Implementacion_ley.pd</w:t>
        </w:r>
      </w:hyperlink>
      <w:r>
        <w:rPr>
          <w:rFonts w:ascii="Century Gothic" w:hAnsi="Century Gothic" w:cs="Century Gothic"/>
          <w:color w:val="0000FF"/>
          <w:u w:val="single"/>
        </w:rPr>
        <w:t>f</w:t>
      </w:r>
      <w:r>
        <w:rPr>
          <w:rFonts w:ascii="Century Gothic" w:hAnsi="Century Gothic" w:cs="Century Gothic"/>
        </w:rPr>
        <w:t>.</w:t>
      </w:r>
    </w:p>
    <w:p w:rsidR="00000000" w:rsidRDefault="009C35BF">
      <w:pPr>
        <w:pStyle w:val="Fuentedeprrafopredeter"/>
        <w:widowControl w:val="0"/>
        <w:autoSpaceDE w:val="0"/>
        <w:autoSpaceDN w:val="0"/>
        <w:adjustRightInd w:val="0"/>
        <w:spacing w:after="0" w:line="332"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Durante éste periodo, la Secretaría Ejecutiva de la CIBIOGEM, en colabor</w:t>
      </w:r>
      <w:r>
        <w:rPr>
          <w:rFonts w:ascii="Century Gothic" w:hAnsi="Century Gothic" w:cs="Century Gothic"/>
        </w:rPr>
        <w:t>ación con las áreas de comunicación social de las instancias que conforman a la CIBIOGEM, ha desarrollado un Plan Estratégico de Comunicación que identifica diferentes sectores y público objetivo. Como parte de las actividades de dicho Plan Estratégico, se</w:t>
      </w:r>
      <w:r>
        <w:rPr>
          <w:rFonts w:ascii="Century Gothic" w:hAnsi="Century Gothic" w:cs="Century Gothic"/>
        </w:rPr>
        <w:t xml:space="preserve"> han elaborado y/o actualizado folletos informativos acerca de la CIBIOGEM, en versiones en español e inglés, entre los que destacan los siguientes:</w:t>
      </w:r>
    </w:p>
    <w:p w:rsidR="00000000" w:rsidRDefault="009B4242">
      <w:pPr>
        <w:pStyle w:val="Fuentedeprrafopredeter"/>
        <w:widowControl w:val="0"/>
        <w:autoSpaceDE w:val="0"/>
        <w:autoSpaceDN w:val="0"/>
        <w:adjustRightInd w:val="0"/>
        <w:spacing w:after="0" w:line="333"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409575</wp:posOffset>
            </wp:positionH>
            <wp:positionV relativeFrom="paragraph">
              <wp:posOffset>177165</wp:posOffset>
            </wp:positionV>
            <wp:extent cx="128270" cy="513715"/>
            <wp:effectExtent l="0" t="0" r="508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5137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C35BF">
      <w:pPr>
        <w:pStyle w:val="Fuentedeprrafopredeter"/>
        <w:widowControl w:val="0"/>
        <w:overflowPunct w:val="0"/>
        <w:autoSpaceDE w:val="0"/>
        <w:autoSpaceDN w:val="0"/>
        <w:adjustRightInd w:val="0"/>
        <w:spacing w:after="0" w:line="213" w:lineRule="auto"/>
        <w:ind w:left="1000" w:right="2360"/>
        <w:rPr>
          <w:rFonts w:ascii="Times New Roman" w:hAnsi="Times New Roman" w:cs="Times New Roman"/>
          <w:sz w:val="24"/>
          <w:szCs w:val="24"/>
        </w:rPr>
      </w:pPr>
      <w:r>
        <w:rPr>
          <w:rFonts w:ascii="Century Gothic" w:hAnsi="Century Gothic" w:cs="Century Gothic"/>
        </w:rPr>
        <w:t>¿Qué es la CIBIOGEM y su Secretaría Ejecutiva? El ABC de los OGMs</w:t>
      </w:r>
    </w:p>
    <w:p w:rsidR="00000000" w:rsidRDefault="009C35BF">
      <w:pPr>
        <w:pStyle w:val="Fuentedeprrafopredeter"/>
        <w:widowControl w:val="0"/>
        <w:autoSpaceDE w:val="0"/>
        <w:autoSpaceDN w:val="0"/>
        <w:adjustRightInd w:val="0"/>
        <w:spacing w:after="0" w:line="239" w:lineRule="auto"/>
        <w:ind w:left="1000"/>
        <w:rPr>
          <w:rFonts w:ascii="Times New Roman" w:hAnsi="Times New Roman" w:cs="Times New Roman"/>
          <w:sz w:val="24"/>
          <w:szCs w:val="24"/>
        </w:rPr>
      </w:pPr>
      <w:r>
        <w:rPr>
          <w:rFonts w:ascii="Century Gothic" w:hAnsi="Century Gothic" w:cs="Century Gothic"/>
        </w:rPr>
        <w:t>¿Qué son los Organismos Genéticamente Modificados?</w:t>
      </w:r>
    </w:p>
    <w:p w:rsidR="00000000" w:rsidRDefault="009B4242">
      <w:pPr>
        <w:pStyle w:val="Fuentedeprrafopredeter"/>
        <w:widowControl w:val="0"/>
        <w:autoSpaceDE w:val="0"/>
        <w:autoSpaceDN w:val="0"/>
        <w:adjustRightInd w:val="0"/>
        <w:spacing w:after="0" w:line="61"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409575</wp:posOffset>
            </wp:positionH>
            <wp:positionV relativeFrom="paragraph">
              <wp:posOffset>4445</wp:posOffset>
            </wp:positionV>
            <wp:extent cx="128270" cy="172085"/>
            <wp:effectExtent l="0" t="0" r="508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C35BF">
      <w:pPr>
        <w:pStyle w:val="Fuentedeprrafopredeter"/>
        <w:widowControl w:val="0"/>
        <w:overflowPunct w:val="0"/>
        <w:autoSpaceDE w:val="0"/>
        <w:autoSpaceDN w:val="0"/>
        <w:adjustRightInd w:val="0"/>
        <w:spacing w:after="0" w:line="213" w:lineRule="auto"/>
        <w:ind w:left="1000"/>
        <w:rPr>
          <w:rFonts w:ascii="Times New Roman" w:hAnsi="Times New Roman" w:cs="Times New Roman"/>
          <w:sz w:val="24"/>
          <w:szCs w:val="24"/>
        </w:rPr>
      </w:pPr>
      <w:r>
        <w:rPr>
          <w:rFonts w:ascii="Century Gothic" w:hAnsi="Century Gothic" w:cs="Century Gothic"/>
        </w:rPr>
        <w:t>La Red Mexicana de Monitoreo de Organismos Genéticamente Modificados.</w:t>
      </w:r>
    </w:p>
    <w:p w:rsidR="00000000" w:rsidRDefault="009B4242">
      <w:pPr>
        <w:pStyle w:val="Fuentedeprrafopredeter"/>
        <w:widowControl w:val="0"/>
        <w:autoSpaceDE w:val="0"/>
        <w:autoSpaceDN w:val="0"/>
        <w:adjustRightInd w:val="0"/>
        <w:spacing w:after="0" w:line="61"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409575</wp:posOffset>
            </wp:positionH>
            <wp:positionV relativeFrom="paragraph">
              <wp:posOffset>4445</wp:posOffset>
            </wp:positionV>
            <wp:extent cx="128270" cy="172085"/>
            <wp:effectExtent l="0" t="0" r="508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C35BF">
      <w:pPr>
        <w:pStyle w:val="Fuentedeprrafopredeter"/>
        <w:widowControl w:val="0"/>
        <w:overflowPunct w:val="0"/>
        <w:autoSpaceDE w:val="0"/>
        <w:autoSpaceDN w:val="0"/>
        <w:adjustRightInd w:val="0"/>
        <w:spacing w:after="0" w:line="213" w:lineRule="auto"/>
        <w:ind w:left="1000"/>
        <w:rPr>
          <w:rFonts w:ascii="Times New Roman" w:hAnsi="Times New Roman" w:cs="Times New Roman"/>
          <w:sz w:val="24"/>
          <w:szCs w:val="24"/>
        </w:rPr>
      </w:pPr>
      <w:r>
        <w:rPr>
          <w:rFonts w:ascii="Century Gothic" w:hAnsi="Century Gothic" w:cs="Century Gothic"/>
        </w:rPr>
        <w:t>Guía para investigadores sobre la presentación de Avisos de utilización confinada.</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91"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5</w:t>
      </w: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9B4242">
      <w:pPr>
        <w:pStyle w:val="Fuentedeprrafopredeter"/>
        <w:widowControl w:val="0"/>
        <w:autoSpaceDE w:val="0"/>
        <w:autoSpaceDN w:val="0"/>
        <w:adjustRightInd w:val="0"/>
        <w:spacing w:after="0" w:line="240" w:lineRule="auto"/>
        <w:ind w:left="2060"/>
        <w:rPr>
          <w:rFonts w:ascii="Times New Roman" w:hAnsi="Times New Roman" w:cs="Times New Roman"/>
          <w:sz w:val="24"/>
          <w:szCs w:val="24"/>
        </w:rPr>
      </w:pPr>
      <w:bookmarkStart w:id="6" w:name="page6"/>
      <w:bookmarkEnd w:id="6"/>
      <w:r>
        <w:rPr>
          <w:noProof/>
        </w:rPr>
        <w:lastRenderedPageBreak/>
        <w:drawing>
          <wp:anchor distT="0" distB="0" distL="114300" distR="114300" simplePos="0" relativeHeight="25167155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9C35BF">
        <w:rPr>
          <w:rFonts w:ascii="Century Gothic" w:hAnsi="Century Gothic" w:cs="Century Gothic"/>
          <w:sz w:val="24"/>
          <w:szCs w:val="24"/>
        </w:rPr>
        <w:t>Comisión Intersecretarial de Bioseguridad de los</w:t>
      </w:r>
    </w:p>
    <w:p w:rsidR="00000000" w:rsidRDefault="009C35BF">
      <w:pPr>
        <w:pStyle w:val="Fuentedeprrafopredeter"/>
        <w:widowControl w:val="0"/>
        <w:autoSpaceDE w:val="0"/>
        <w:autoSpaceDN w:val="0"/>
        <w:adjustRightInd w:val="0"/>
        <w:spacing w:after="0" w:line="238" w:lineRule="auto"/>
        <w:ind w:left="248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9C35BF">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3740"/>
        <w:rPr>
          <w:rFonts w:ascii="Times New Roman" w:hAnsi="Times New Roman" w:cs="Times New Roman"/>
          <w:sz w:val="24"/>
          <w:szCs w:val="24"/>
        </w:rPr>
      </w:pPr>
      <w:r>
        <w:rPr>
          <w:rFonts w:ascii="Century Gothic" w:hAnsi="Century Gothic" w:cs="Century Gothic"/>
          <w:sz w:val="24"/>
          <w:szCs w:val="24"/>
        </w:rPr>
        <w:t>CIBIOGEM, MEXICO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7"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Se llevó a cabo la Primera Edición del Día de Puertas Abiertas de la Secretaría Ejecutiva de la CIBIOGEM, el 11 de septiembre. También se organizó</w:t>
      </w:r>
      <w:r>
        <w:rPr>
          <w:rFonts w:ascii="Century Gothic" w:hAnsi="Century Gothic" w:cs="Century Gothic"/>
        </w:rPr>
        <w:t xml:space="preserve"> y llevó a cabo del Primer Taller Nacional para Periodistas, sobre biotecnología y organismos genéticamente modificados el 30 de septiembre.</w:t>
      </w:r>
    </w:p>
    <w:p w:rsidR="00000000" w:rsidRDefault="009C35BF">
      <w:pPr>
        <w:pStyle w:val="Fuentedeprrafopredeter"/>
        <w:widowControl w:val="0"/>
        <w:autoSpaceDE w:val="0"/>
        <w:autoSpaceDN w:val="0"/>
        <w:adjustRightInd w:val="0"/>
        <w:spacing w:after="0" w:line="273"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39" w:lineRule="auto"/>
        <w:ind w:left="60"/>
        <w:rPr>
          <w:rFonts w:ascii="Times New Roman" w:hAnsi="Times New Roman" w:cs="Times New Roman"/>
          <w:sz w:val="24"/>
          <w:szCs w:val="24"/>
        </w:rPr>
      </w:pPr>
      <w:r>
        <w:rPr>
          <w:rFonts w:ascii="Century Gothic" w:hAnsi="Century Gothic" w:cs="Century Gothic"/>
        </w:rPr>
        <w:t>Figura 1. Primer Taller Nacional para Periodistas</w:t>
      </w:r>
    </w:p>
    <w:p w:rsidR="00000000" w:rsidRDefault="009B4242">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simplePos x="0" y="0"/>
            <wp:positionH relativeFrom="column">
              <wp:posOffset>10795</wp:posOffset>
            </wp:positionH>
            <wp:positionV relativeFrom="paragraph">
              <wp:posOffset>5080</wp:posOffset>
            </wp:positionV>
            <wp:extent cx="6116955" cy="2183765"/>
            <wp:effectExtent l="0" t="0" r="0" b="698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955" cy="218376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07"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rPr>
        <w:t>Adicionalmente se participó en la semana de la Ciencia con talleres para niños.</w:t>
      </w:r>
    </w:p>
    <w:p w:rsidR="00000000" w:rsidRDefault="009C35BF">
      <w:pPr>
        <w:pStyle w:val="Fuentedeprrafopredeter"/>
        <w:widowControl w:val="0"/>
        <w:autoSpaceDE w:val="0"/>
        <w:autoSpaceDN w:val="0"/>
        <w:adjustRightInd w:val="0"/>
        <w:spacing w:after="0" w:line="271"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Figura 2. Talleres para niños en la semana Nacional de la Ciencia.</w:t>
      </w:r>
    </w:p>
    <w:p w:rsidR="00000000" w:rsidRDefault="009B4242">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781050</wp:posOffset>
            </wp:positionH>
            <wp:positionV relativeFrom="paragraph">
              <wp:posOffset>59055</wp:posOffset>
            </wp:positionV>
            <wp:extent cx="4449445" cy="2094230"/>
            <wp:effectExtent l="0" t="0" r="8255" b="127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9445" cy="209423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39"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6</w:t>
      </w: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9B4242">
      <w:pPr>
        <w:pStyle w:val="Fuentedeprrafopredeter"/>
        <w:widowControl w:val="0"/>
        <w:autoSpaceDE w:val="0"/>
        <w:autoSpaceDN w:val="0"/>
        <w:adjustRightInd w:val="0"/>
        <w:spacing w:after="0" w:line="240" w:lineRule="auto"/>
        <w:ind w:left="2060"/>
        <w:rPr>
          <w:rFonts w:ascii="Times New Roman" w:hAnsi="Times New Roman" w:cs="Times New Roman"/>
          <w:sz w:val="24"/>
          <w:szCs w:val="24"/>
        </w:rPr>
      </w:pPr>
      <w:bookmarkStart w:id="7" w:name="page7"/>
      <w:bookmarkEnd w:id="7"/>
      <w:r>
        <w:rPr>
          <w:noProof/>
        </w:rPr>
        <w:lastRenderedPageBreak/>
        <w:drawing>
          <wp:anchor distT="0" distB="0" distL="114300" distR="114300" simplePos="0" relativeHeight="251675648"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9C35BF">
        <w:rPr>
          <w:rFonts w:ascii="Century Gothic" w:hAnsi="Century Gothic" w:cs="Century Gothic"/>
          <w:sz w:val="24"/>
          <w:szCs w:val="24"/>
        </w:rPr>
        <w:t>Comisión Intersecretarial de Bioseguridad de los</w:t>
      </w:r>
    </w:p>
    <w:p w:rsidR="00000000" w:rsidRDefault="009C35BF">
      <w:pPr>
        <w:pStyle w:val="Fuentedeprrafopredeter"/>
        <w:widowControl w:val="0"/>
        <w:autoSpaceDE w:val="0"/>
        <w:autoSpaceDN w:val="0"/>
        <w:adjustRightInd w:val="0"/>
        <w:spacing w:after="0" w:line="238" w:lineRule="auto"/>
        <w:ind w:left="248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9C35BF">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3740"/>
        <w:rPr>
          <w:rFonts w:ascii="Times New Roman" w:hAnsi="Times New Roman" w:cs="Times New Roman"/>
          <w:sz w:val="24"/>
          <w:szCs w:val="24"/>
        </w:rPr>
      </w:pPr>
      <w:r>
        <w:rPr>
          <w:rFonts w:ascii="Century Gothic" w:hAnsi="Century Gothic" w:cs="Century Gothic"/>
          <w:sz w:val="24"/>
          <w:szCs w:val="24"/>
        </w:rPr>
        <w:t>CIBIOGEM, MEXICO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75"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4" w:lineRule="auto"/>
        <w:ind w:left="2700" w:hanging="1973"/>
        <w:rPr>
          <w:rFonts w:ascii="Times New Roman" w:hAnsi="Times New Roman" w:cs="Times New Roman"/>
          <w:sz w:val="24"/>
          <w:szCs w:val="24"/>
        </w:rPr>
      </w:pPr>
      <w:r>
        <w:rPr>
          <w:rFonts w:ascii="Century Gothic" w:hAnsi="Century Gothic" w:cs="Century Gothic"/>
          <w:b/>
          <w:bCs/>
        </w:rPr>
        <w:t>Objetivo General 3. Coordinación, seguimiento y gestión comprometida.</w:t>
      </w:r>
    </w:p>
    <w:p w:rsidR="00000000" w:rsidRDefault="009C35BF">
      <w:pPr>
        <w:pStyle w:val="Fuentedeprrafopredeter"/>
        <w:widowControl w:val="0"/>
        <w:autoSpaceDE w:val="0"/>
        <w:autoSpaceDN w:val="0"/>
        <w:adjustRightInd w:val="0"/>
        <w:spacing w:after="0" w:line="335"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3" w:lineRule="auto"/>
        <w:ind w:right="80"/>
        <w:rPr>
          <w:rFonts w:ascii="Times New Roman" w:hAnsi="Times New Roman" w:cs="Times New Roman"/>
          <w:sz w:val="24"/>
          <w:szCs w:val="24"/>
        </w:rPr>
      </w:pPr>
      <w:r>
        <w:rPr>
          <w:rFonts w:ascii="Century Gothic" w:hAnsi="Century Gothic" w:cs="Century Gothic"/>
          <w:sz w:val="24"/>
          <w:szCs w:val="24"/>
        </w:rPr>
        <w:t>En el mes de enero la Secretaría Ejecutiva con apoyo de la SEMARNAT, elaboró el Primer Taller denominado “Identificación y Diseño de</w:t>
      </w:r>
    </w:p>
    <w:p w:rsidR="00000000" w:rsidRDefault="009C35BF">
      <w:pPr>
        <w:pStyle w:val="Fuentedeprrafopredeter"/>
        <w:widowControl w:val="0"/>
        <w:autoSpaceDE w:val="0"/>
        <w:autoSpaceDN w:val="0"/>
        <w:adjustRightInd w:val="0"/>
        <w:spacing w:after="0" w:line="68"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2" w:lineRule="auto"/>
        <w:ind w:right="80"/>
        <w:rPr>
          <w:rFonts w:ascii="Times New Roman" w:hAnsi="Times New Roman" w:cs="Times New Roman"/>
          <w:sz w:val="24"/>
          <w:szCs w:val="24"/>
        </w:rPr>
      </w:pPr>
      <w:r>
        <w:rPr>
          <w:rFonts w:ascii="Century Gothic" w:hAnsi="Century Gothic" w:cs="Century Gothic"/>
          <w:sz w:val="24"/>
          <w:szCs w:val="24"/>
        </w:rPr>
        <w:t>Políticas Públicas para la Protección, Utilización, Desarrollo y Aprovechamiento Sustentable de Especies de las que México</w:t>
      </w:r>
      <w:r>
        <w:rPr>
          <w:rFonts w:ascii="Century Gothic" w:hAnsi="Century Gothic" w:cs="Century Gothic"/>
          <w:sz w:val="24"/>
          <w:szCs w:val="24"/>
        </w:rPr>
        <w:t xml:space="preserve"> sea</w:t>
      </w:r>
    </w:p>
    <w:p w:rsidR="00000000" w:rsidRDefault="009C35BF">
      <w:pPr>
        <w:pStyle w:val="Fuentedeprrafopredeter"/>
        <w:widowControl w:val="0"/>
        <w:autoSpaceDE w:val="0"/>
        <w:autoSpaceDN w:val="0"/>
        <w:adjustRightInd w:val="0"/>
        <w:spacing w:after="0" w:line="4"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4"/>
          <w:szCs w:val="24"/>
        </w:rPr>
        <w:t>Centro de Origen y de Diversidad Genética: el Segmento Maíz”; en</w:t>
      </w:r>
    </w:p>
    <w:p w:rsidR="00000000" w:rsidRDefault="009C35BF">
      <w:pPr>
        <w:pStyle w:val="Fuentedeprrafopredeter"/>
        <w:widowControl w:val="0"/>
        <w:autoSpaceDE w:val="0"/>
        <w:autoSpaceDN w:val="0"/>
        <w:adjustRightInd w:val="0"/>
        <w:spacing w:after="0" w:line="64"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3" w:lineRule="auto"/>
        <w:ind w:right="80"/>
        <w:rPr>
          <w:rFonts w:ascii="Times New Roman" w:hAnsi="Times New Roman" w:cs="Times New Roman"/>
          <w:sz w:val="24"/>
          <w:szCs w:val="24"/>
        </w:rPr>
      </w:pPr>
      <w:r>
        <w:rPr>
          <w:rFonts w:ascii="Century Gothic" w:hAnsi="Century Gothic" w:cs="Century Gothic"/>
          <w:sz w:val="24"/>
          <w:szCs w:val="24"/>
        </w:rPr>
        <w:t>Cuernavaca, Morelos, como resultado se obtuvo una matriz para la elaboración de políticas públicas en materia de bioseguridad.</w:t>
      </w:r>
    </w:p>
    <w:p w:rsidR="00000000" w:rsidRDefault="009C35BF">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Century Gothic" w:hAnsi="Century Gothic" w:cs="Century Gothic"/>
        </w:rPr>
        <w:t>La Secretaría Ejecutiva con apoyo del Comité de establecimiento de la Red de Monitoreo, llevó a cabo el Tercer Taller de Monitoreo de OGMs que tuvo lugar el 11 y 12 de junio. La Red Mexicana de Monitoreo de OGMs, se constituyó formalmente el 23 de junio. E</w:t>
      </w:r>
      <w:r>
        <w:rPr>
          <w:rFonts w:ascii="Century Gothic" w:hAnsi="Century Gothic" w:cs="Century Gothic"/>
        </w:rPr>
        <w:t>ste proceso incluyó la elaboración de las Reglas de Operación y Funcionamiento de la Red, la conformación de su Comité Permanente, así como acordar los términos para la emisión de la Convocatoria para recibir solicitudes de centros e institutos de investig</w:t>
      </w:r>
      <w:r>
        <w:rPr>
          <w:rFonts w:ascii="Century Gothic" w:hAnsi="Century Gothic" w:cs="Century Gothic"/>
        </w:rPr>
        <w:t>ación así como de organizaciones civiles para participar como Nodos de la Red. Dicha convocatoria está abierta desde el pasado 1 de julio.</w:t>
      </w:r>
    </w:p>
    <w:p w:rsidR="00000000" w:rsidRDefault="009C35BF">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La Primera Reunión Nacional de la Red de Monitoreo tuvo lugar el 23 de septiembre en las instalaciones del Consejo N</w:t>
      </w:r>
      <w:r>
        <w:rPr>
          <w:rFonts w:ascii="Century Gothic" w:hAnsi="Century Gothic" w:cs="Century Gothic"/>
        </w:rPr>
        <w:t>acional de Ciencia y Tecnología y actualmente cuenta con 25 Nodos. Durante dicha Reunión se eligió, conforme las reglas de Operación de la Red a su Presidente, quien ejercerá está función durante dos años. Conforme a las actividades acordadas se han inicia</w:t>
      </w:r>
      <w:r>
        <w:rPr>
          <w:rFonts w:ascii="Century Gothic" w:hAnsi="Century Gothic" w:cs="Century Gothic"/>
        </w:rPr>
        <w:t>do los trabajos de diagnóstico de capacidades para valorar el alcance de la Red.</w:t>
      </w:r>
    </w:p>
    <w:p w:rsidR="00000000" w:rsidRDefault="009C35BF">
      <w:pPr>
        <w:pStyle w:val="Fuentedeprrafopredeter"/>
        <w:widowControl w:val="0"/>
        <w:autoSpaceDE w:val="0"/>
        <w:autoSpaceDN w:val="0"/>
        <w:adjustRightInd w:val="0"/>
        <w:spacing w:after="0" w:line="332"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La Secretaría Ejecutiva, en cumplimiento a los acuerdos de la CIBIOGEM, conformó un Grupo de alto nivel de decisión, (GINAC) el cual tiene como objeto coordinar, instruir, an</w:t>
      </w:r>
      <w:r>
        <w:rPr>
          <w:rFonts w:ascii="Century Gothic" w:hAnsi="Century Gothic" w:cs="Century Gothic"/>
        </w:rPr>
        <w:t>alizar y generar informes de alto nivel respecto a la atención de liberaciones no permitidas de OGMs.</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2"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14" w:lineRule="auto"/>
        <w:ind w:left="2700" w:hanging="1973"/>
        <w:rPr>
          <w:rFonts w:ascii="Times New Roman" w:hAnsi="Times New Roman" w:cs="Times New Roman"/>
          <w:sz w:val="24"/>
          <w:szCs w:val="24"/>
        </w:rPr>
      </w:pPr>
      <w:r>
        <w:rPr>
          <w:rFonts w:ascii="Century Gothic" w:hAnsi="Century Gothic" w:cs="Century Gothic"/>
          <w:b/>
          <w:bCs/>
        </w:rPr>
        <w:t>Objetivo General 4. Fortalecimiento e implementación del marco regulatorio.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59"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7</w:t>
      </w: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9B4242">
      <w:pPr>
        <w:pStyle w:val="Fuentedeprrafopredeter"/>
        <w:widowControl w:val="0"/>
        <w:autoSpaceDE w:val="0"/>
        <w:autoSpaceDN w:val="0"/>
        <w:adjustRightInd w:val="0"/>
        <w:spacing w:after="0" w:line="240" w:lineRule="auto"/>
        <w:ind w:left="2060"/>
        <w:rPr>
          <w:rFonts w:ascii="Times New Roman" w:hAnsi="Times New Roman" w:cs="Times New Roman"/>
          <w:sz w:val="24"/>
          <w:szCs w:val="24"/>
        </w:rPr>
      </w:pPr>
      <w:bookmarkStart w:id="8" w:name="page8"/>
      <w:bookmarkEnd w:id="8"/>
      <w:r>
        <w:rPr>
          <w:noProof/>
        </w:rPr>
        <w:lastRenderedPageBreak/>
        <w:drawing>
          <wp:anchor distT="0" distB="0" distL="114300" distR="114300" simplePos="0" relativeHeight="25167769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9C35BF">
        <w:rPr>
          <w:rFonts w:ascii="Century Gothic" w:hAnsi="Century Gothic" w:cs="Century Gothic"/>
          <w:sz w:val="24"/>
          <w:szCs w:val="24"/>
        </w:rPr>
        <w:t>Comisión Intersecret</w:t>
      </w:r>
      <w:r w:rsidR="009C35BF">
        <w:rPr>
          <w:rFonts w:ascii="Century Gothic" w:hAnsi="Century Gothic" w:cs="Century Gothic"/>
          <w:sz w:val="24"/>
          <w:szCs w:val="24"/>
        </w:rPr>
        <w:t>arial de Bioseguridad de los</w:t>
      </w:r>
    </w:p>
    <w:p w:rsidR="00000000" w:rsidRDefault="009C35BF">
      <w:pPr>
        <w:pStyle w:val="Fuentedeprrafopredeter"/>
        <w:widowControl w:val="0"/>
        <w:autoSpaceDE w:val="0"/>
        <w:autoSpaceDN w:val="0"/>
        <w:adjustRightInd w:val="0"/>
        <w:spacing w:after="0" w:line="238" w:lineRule="auto"/>
        <w:ind w:left="248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9C35BF">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3740"/>
        <w:rPr>
          <w:rFonts w:ascii="Times New Roman" w:hAnsi="Times New Roman" w:cs="Times New Roman"/>
          <w:sz w:val="24"/>
          <w:szCs w:val="24"/>
        </w:rPr>
      </w:pPr>
      <w:r>
        <w:rPr>
          <w:rFonts w:ascii="Century Gothic" w:hAnsi="Century Gothic" w:cs="Century Gothic"/>
          <w:sz w:val="24"/>
          <w:szCs w:val="24"/>
        </w:rPr>
        <w:t>CIBIOGEM, MEXICO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La Secretaría Ejecutiva en coordinación con la Comisión Nacional para el Desarrollo de los Pueblos Indígenas (CDI), realizó una visita de inspección a la Comunidad Indí</w:t>
      </w:r>
      <w:r>
        <w:rPr>
          <w:rFonts w:ascii="Century Gothic" w:hAnsi="Century Gothic" w:cs="Century Gothic"/>
          <w:sz w:val="24"/>
          <w:szCs w:val="24"/>
        </w:rPr>
        <w:t>gena Yaqui, asentada en el Municipio de Cajeme, Sonora, para verificar la localización de zonas de cultivo de algodón GM.</w:t>
      </w:r>
    </w:p>
    <w:p w:rsidR="00000000" w:rsidRDefault="009C35BF">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La Secretaría Ejecutiva llevó a cabo un taller en bioseguridad para la CDI, como parte de los trabajos para desarrollar los mecanismos de consulta a los pueblos y comunidades indígenas que marca el artículo 108 de la LBOGM.</w:t>
      </w:r>
    </w:p>
    <w:p w:rsidR="00000000" w:rsidRDefault="009C35BF">
      <w:pPr>
        <w:pStyle w:val="Fuentedeprrafopredeter"/>
        <w:widowControl w:val="0"/>
        <w:autoSpaceDE w:val="0"/>
        <w:autoSpaceDN w:val="0"/>
        <w:adjustRightInd w:val="0"/>
        <w:spacing w:after="0" w:line="298"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4"/>
          <w:szCs w:val="24"/>
        </w:rPr>
        <w:t>Protocolo de Cartagena</w:t>
      </w:r>
    </w:p>
    <w:p w:rsidR="00000000" w:rsidRDefault="009C35BF">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 xml:space="preserve">México </w:t>
      </w:r>
      <w:r>
        <w:rPr>
          <w:rFonts w:ascii="Century Gothic" w:hAnsi="Century Gothic" w:cs="Century Gothic"/>
          <w:sz w:val="24"/>
          <w:szCs w:val="24"/>
        </w:rPr>
        <w:t>fue sede de la Primera Reunión de Amigos de los Copresidentes en el contexto del Protocolo de Cartagena sobre Seguridad de la Biotecnología, celebrada del 23 al 27 de febrero en la Secretaría de Relaciones Exteriores.</w:t>
      </w:r>
    </w:p>
    <w:p w:rsidR="00000000" w:rsidRDefault="009C35BF">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Century Gothic" w:hAnsi="Century Gothic" w:cs="Century Gothic"/>
          <w:sz w:val="24"/>
          <w:szCs w:val="24"/>
        </w:rPr>
        <w:t>El Secretario Ejecutivo de la CIBIOGE</w:t>
      </w:r>
      <w:r>
        <w:rPr>
          <w:rFonts w:ascii="Century Gothic" w:hAnsi="Century Gothic" w:cs="Century Gothic"/>
          <w:sz w:val="24"/>
          <w:szCs w:val="24"/>
        </w:rPr>
        <w:t>M, como Punto Focal Nacional ante el Protocolo fungió como Jefe de la Delegación Mexicana; asimismo presidió al Grupo Latinoamericano y del Caribe (GRULAC). En coordinación con la SRE y con recursos aportados por la SEMARNAT, quien propuso que México fuera</w:t>
      </w:r>
      <w:r>
        <w:rPr>
          <w:rFonts w:ascii="Century Gothic" w:hAnsi="Century Gothic" w:cs="Century Gothic"/>
          <w:sz w:val="24"/>
          <w:szCs w:val="24"/>
        </w:rPr>
        <w:t xml:space="preserve"> sede del evento, se coordinó a 158 países participantes que acudieron al evento. En dicha reunión se definió que el documento que se genere como resultado de las negociaciones del artículo 27 del Protocolo de Cartagena, será un Protocolo Suplementario al </w:t>
      </w:r>
      <w:r>
        <w:rPr>
          <w:rFonts w:ascii="Century Gothic" w:hAnsi="Century Gothic" w:cs="Century Gothic"/>
          <w:sz w:val="24"/>
          <w:szCs w:val="24"/>
        </w:rPr>
        <w:t>Protocolo de Cartagena.</w:t>
      </w:r>
    </w:p>
    <w:p w:rsidR="00000000" w:rsidRDefault="009C35BF">
      <w:pPr>
        <w:pStyle w:val="Fuentedeprrafopredeter"/>
        <w:widowControl w:val="0"/>
        <w:autoSpaceDE w:val="0"/>
        <w:autoSpaceDN w:val="0"/>
        <w:adjustRightInd w:val="0"/>
        <w:spacing w:after="0" w:line="361"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La Secretaría Ejecutiva coordinó la definición de la posición de México para la Segunda Reunión de los Amigos de los Co-Presidentes sobre el Artículo 27 del Protocolo de Cartagena sobre Bioseguridad que se llevará a cabo del 8 al 1</w:t>
      </w:r>
      <w:r>
        <w:rPr>
          <w:rFonts w:ascii="Century Gothic" w:hAnsi="Century Gothic" w:cs="Century Gothic"/>
          <w:sz w:val="24"/>
          <w:szCs w:val="24"/>
        </w:rPr>
        <w:t>2 de febrero de 2010 en Kuala Lumpur, Malasia.</w:t>
      </w:r>
    </w:p>
    <w:p w:rsidR="00000000" w:rsidRDefault="009C35BF">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 xml:space="preserve">La Secretaría Ejecutiva participó en la coordinación y en los trabajos del Taller Regional del GRULAC de formación para entrenadores sobre la identificación y documentación de OVM del PCB, que tuvo lugar del </w:t>
      </w:r>
      <w:r>
        <w:rPr>
          <w:rFonts w:ascii="Century Gothic" w:hAnsi="Century Gothic" w:cs="Century Gothic"/>
          <w:sz w:val="24"/>
          <w:szCs w:val="24"/>
        </w:rPr>
        <w:t>23 al 27 de noviembre en la Ciudad de México.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71"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8</w:t>
      </w: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860" w:left="1700" w:header="720" w:footer="720" w:gutter="0"/>
          <w:cols w:space="720" w:equalWidth="0">
            <w:col w:w="8380"/>
          </w:cols>
          <w:noEndnote/>
        </w:sectPr>
      </w:pPr>
    </w:p>
    <w:p w:rsidR="00000000" w:rsidRDefault="009B4242">
      <w:pPr>
        <w:pStyle w:val="Fuentedeprrafopredeter"/>
        <w:widowControl w:val="0"/>
        <w:autoSpaceDE w:val="0"/>
        <w:autoSpaceDN w:val="0"/>
        <w:adjustRightInd w:val="0"/>
        <w:spacing w:after="0" w:line="240" w:lineRule="auto"/>
        <w:ind w:left="2060"/>
        <w:rPr>
          <w:rFonts w:ascii="Times New Roman" w:hAnsi="Times New Roman" w:cs="Times New Roman"/>
          <w:sz w:val="24"/>
          <w:szCs w:val="24"/>
        </w:rPr>
      </w:pPr>
      <w:bookmarkStart w:id="9" w:name="page9"/>
      <w:bookmarkEnd w:id="9"/>
      <w:r>
        <w:rPr>
          <w:noProof/>
        </w:rPr>
        <w:lastRenderedPageBreak/>
        <w:drawing>
          <wp:anchor distT="0" distB="0" distL="114300" distR="114300" simplePos="0" relativeHeight="25167974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9C35BF">
        <w:rPr>
          <w:rFonts w:ascii="Century Gothic" w:hAnsi="Century Gothic" w:cs="Century Gothic"/>
          <w:sz w:val="24"/>
          <w:szCs w:val="24"/>
        </w:rPr>
        <w:t>Comisión Intersecretarial de Bioseguridad de los</w:t>
      </w:r>
    </w:p>
    <w:p w:rsidR="00000000" w:rsidRDefault="009C35BF">
      <w:pPr>
        <w:pStyle w:val="Fuentedeprrafopredeter"/>
        <w:widowControl w:val="0"/>
        <w:autoSpaceDE w:val="0"/>
        <w:autoSpaceDN w:val="0"/>
        <w:adjustRightInd w:val="0"/>
        <w:spacing w:after="0" w:line="238" w:lineRule="auto"/>
        <w:ind w:left="248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9C35BF">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3740"/>
        <w:rPr>
          <w:rFonts w:ascii="Times New Roman" w:hAnsi="Times New Roman" w:cs="Times New Roman"/>
          <w:sz w:val="24"/>
          <w:szCs w:val="24"/>
        </w:rPr>
      </w:pPr>
      <w:r>
        <w:rPr>
          <w:rFonts w:ascii="Century Gothic" w:hAnsi="Century Gothic" w:cs="Century Gothic"/>
          <w:sz w:val="24"/>
          <w:szCs w:val="24"/>
        </w:rPr>
        <w:t>CIBIOGEM, MEXICO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38"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México ha participado en el Ad Hoc Technical Expert Group (AHTEG) sobre Evaluación y Manejo de Riesgo del Protocolo de Cartagena, a través de la Secretaría Ejecutiva. A solicitud del Secretariado del Protocolo, México presidió la conferencia en tiempo real</w:t>
      </w:r>
      <w:r>
        <w:rPr>
          <w:rFonts w:ascii="Century Gothic" w:hAnsi="Century Gothic" w:cs="Century Gothic"/>
          <w:sz w:val="24"/>
          <w:szCs w:val="24"/>
        </w:rPr>
        <w:t xml:space="preserve"> de la Región Latinoamericana.</w:t>
      </w:r>
    </w:p>
    <w:p w:rsidR="00000000" w:rsidRDefault="009C35BF">
      <w:pPr>
        <w:pStyle w:val="Fuentedeprrafopredeter"/>
        <w:widowControl w:val="0"/>
        <w:autoSpaceDE w:val="0"/>
        <w:autoSpaceDN w:val="0"/>
        <w:adjustRightInd w:val="0"/>
        <w:spacing w:after="0" w:line="297"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4"/>
          <w:szCs w:val="24"/>
        </w:rPr>
        <w:t>Otros foros internacionales</w:t>
      </w:r>
    </w:p>
    <w:p w:rsidR="00000000" w:rsidRDefault="009C35BF">
      <w:pPr>
        <w:pStyle w:val="Fuentedeprrafopredeter"/>
        <w:widowControl w:val="0"/>
        <w:autoSpaceDE w:val="0"/>
        <w:autoSpaceDN w:val="0"/>
        <w:adjustRightInd w:val="0"/>
        <w:spacing w:after="0" w:line="360"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en la reunión denominada “Dialogue on the Compact Contractual Compensation Mechanism”, celebrada los días 22 y 23 de enero, en Singapur. En dicha reunión se disc</w:t>
      </w:r>
      <w:r>
        <w:rPr>
          <w:rFonts w:ascii="Century Gothic" w:hAnsi="Century Gothic" w:cs="Century Gothic"/>
          <w:sz w:val="24"/>
          <w:szCs w:val="24"/>
        </w:rPr>
        <w:t>utió un borrador del documento relativo a la propuesta de los principales desarrolladores de los OVMs, que puede servir como respuesta a los daños ocasionados a la diversidad biológica.</w:t>
      </w:r>
    </w:p>
    <w:p w:rsidR="00000000" w:rsidRDefault="009C35BF">
      <w:pPr>
        <w:pStyle w:val="Fuentedeprrafopredeter"/>
        <w:widowControl w:val="0"/>
        <w:autoSpaceDE w:val="0"/>
        <w:autoSpaceDN w:val="0"/>
        <w:adjustRightInd w:val="0"/>
        <w:spacing w:after="0" w:line="360"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en el Primer Diálogo Latinoamerican</w:t>
      </w:r>
      <w:r>
        <w:rPr>
          <w:rFonts w:ascii="Century Gothic" w:hAnsi="Century Gothic" w:cs="Century Gothic"/>
          <w:sz w:val="24"/>
          <w:szCs w:val="24"/>
        </w:rPr>
        <w:t>o sobre el Compact un Mecanismo de Compensación Contractual Voluntario, organizado por el IICA los días 18 y 19 de junio en San José de Costa Rica.</w:t>
      </w:r>
    </w:p>
    <w:p w:rsidR="00000000" w:rsidRDefault="009C35BF">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sz w:val="24"/>
          <w:szCs w:val="24"/>
        </w:rPr>
        <w:t>La Secretaría Ejecutiva coordinó la posición del Gobierno de México en los Trabajos del Grupo Electrónico d</w:t>
      </w:r>
      <w:r>
        <w:rPr>
          <w:rFonts w:ascii="Century Gothic" w:hAnsi="Century Gothic" w:cs="Century Gothic"/>
          <w:sz w:val="24"/>
          <w:szCs w:val="24"/>
        </w:rPr>
        <w:t xml:space="preserve">el CODEX Alimentarius respecto </w:t>
      </w:r>
      <w:r>
        <w:rPr>
          <w:rFonts w:ascii="Century Gothic" w:hAnsi="Century Gothic" w:cs="Century Gothic"/>
          <w:i/>
          <w:iCs/>
          <w:sz w:val="24"/>
          <w:szCs w:val="24"/>
        </w:rPr>
        <w:t>al “Anteproyecto de Directrices sobre criterios para métodos de detección, identificación y cuantificación de secuencias específicas de ADN y proteínas específicas, en particular en alimentos obtenidos por la biotecnología mo</w:t>
      </w:r>
      <w:r>
        <w:rPr>
          <w:rFonts w:ascii="Century Gothic" w:hAnsi="Century Gothic" w:cs="Century Gothic"/>
          <w:i/>
          <w:iCs/>
          <w:sz w:val="24"/>
          <w:szCs w:val="24"/>
        </w:rPr>
        <w:t xml:space="preserve">derna”, </w:t>
      </w:r>
      <w:r>
        <w:rPr>
          <w:rFonts w:ascii="Century Gothic" w:hAnsi="Century Gothic" w:cs="Century Gothic"/>
          <w:sz w:val="24"/>
          <w:szCs w:val="24"/>
        </w:rPr>
        <w:t>en apoyo a la DPN de la Secretaría de</w:t>
      </w:r>
      <w:r>
        <w:rPr>
          <w:rFonts w:ascii="Century Gothic" w:hAnsi="Century Gothic" w:cs="Century Gothic"/>
          <w:i/>
          <w:iCs/>
          <w:sz w:val="24"/>
          <w:szCs w:val="24"/>
        </w:rPr>
        <w:t xml:space="preserve"> </w:t>
      </w:r>
      <w:r>
        <w:rPr>
          <w:rFonts w:ascii="Century Gothic" w:hAnsi="Century Gothic" w:cs="Century Gothic"/>
          <w:sz w:val="24"/>
          <w:szCs w:val="24"/>
        </w:rPr>
        <w:t>Economía, llevado a cabo del 17 de septiembre al 20 de noviembre.</w:t>
      </w:r>
    </w:p>
    <w:p w:rsidR="00000000" w:rsidRDefault="009C35BF">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Se coordinó la participación de la Delegación de México en la 22a Reunión del Grupo de Trabajo de Armonización sobre Aspectos Regulatorios de la Biotecnología de la OECD que tuvo lugar del 19 al 21 de octubre en París, Francia.</w:t>
      </w:r>
    </w:p>
    <w:p w:rsidR="00000000" w:rsidRDefault="009C35BF">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La Secretaría Ejecutiva par</w:t>
      </w:r>
      <w:r>
        <w:rPr>
          <w:rFonts w:ascii="Century Gothic" w:hAnsi="Century Gothic" w:cs="Century Gothic"/>
          <w:sz w:val="24"/>
          <w:szCs w:val="24"/>
        </w:rPr>
        <w:t>ticipó en el Taller regional organizado por el IICA, preparatorio para las negociaciones del PCB que tuvo lugar el 12 y 13 de noviembre en Santiago de Chile.</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6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9</w:t>
      </w:r>
    </w:p>
    <w:p w:rsidR="00000000" w:rsidRDefault="009C35BF">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860" w:left="1700" w:header="720" w:footer="720" w:gutter="0"/>
          <w:cols w:space="720" w:equalWidth="0">
            <w:col w:w="8380"/>
          </w:cols>
          <w:noEndnote/>
        </w:sectPr>
      </w:pPr>
    </w:p>
    <w:p w:rsidR="00000000" w:rsidRDefault="009B4242">
      <w:pPr>
        <w:pStyle w:val="Fuentedeprrafopredeter"/>
        <w:widowControl w:val="0"/>
        <w:autoSpaceDE w:val="0"/>
        <w:autoSpaceDN w:val="0"/>
        <w:adjustRightInd w:val="0"/>
        <w:spacing w:after="0" w:line="240" w:lineRule="auto"/>
        <w:ind w:left="2060"/>
        <w:rPr>
          <w:rFonts w:ascii="Times New Roman" w:hAnsi="Times New Roman" w:cs="Times New Roman"/>
          <w:sz w:val="24"/>
          <w:szCs w:val="24"/>
        </w:rPr>
      </w:pPr>
      <w:bookmarkStart w:id="10" w:name="page10"/>
      <w:bookmarkEnd w:id="10"/>
      <w:r>
        <w:rPr>
          <w:noProof/>
        </w:rPr>
        <w:lastRenderedPageBreak/>
        <w:drawing>
          <wp:anchor distT="0" distB="0" distL="114300" distR="114300" simplePos="0" relativeHeight="25168179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9C35BF">
        <w:rPr>
          <w:rFonts w:ascii="Century Gothic" w:hAnsi="Century Gothic" w:cs="Century Gothic"/>
          <w:sz w:val="24"/>
          <w:szCs w:val="24"/>
        </w:rPr>
        <w:t>Comisión Intersecretarial de Bioseguridad de los</w:t>
      </w:r>
    </w:p>
    <w:p w:rsidR="00000000" w:rsidRDefault="009C35BF">
      <w:pPr>
        <w:pStyle w:val="Fuentedeprrafopredeter"/>
        <w:widowControl w:val="0"/>
        <w:autoSpaceDE w:val="0"/>
        <w:autoSpaceDN w:val="0"/>
        <w:adjustRightInd w:val="0"/>
        <w:spacing w:after="0" w:line="238" w:lineRule="auto"/>
        <w:ind w:left="248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9C35BF">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3740"/>
        <w:rPr>
          <w:rFonts w:ascii="Times New Roman" w:hAnsi="Times New Roman" w:cs="Times New Roman"/>
          <w:sz w:val="24"/>
          <w:szCs w:val="24"/>
        </w:rPr>
      </w:pPr>
      <w:r>
        <w:rPr>
          <w:rFonts w:ascii="Century Gothic" w:hAnsi="Century Gothic" w:cs="Century Gothic"/>
          <w:sz w:val="24"/>
          <w:szCs w:val="24"/>
        </w:rPr>
        <w:t>CIBIOGEM, MEXICO</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La Secretaría Ejecutiva presentó información sobre autorizaciones de OVMs en México en la 16ª Reunión del Equipo Operativo de la OCDE sobre la Inocuidad de Alimentos y Piensos Novedosos del 19 al 20 de noviembre en París, Francia.</w:t>
      </w:r>
    </w:p>
    <w:p w:rsidR="00000000" w:rsidRDefault="009C35BF">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 xml:space="preserve">La Secretaría Ejecutiva </w:t>
      </w:r>
      <w:r>
        <w:rPr>
          <w:rFonts w:ascii="Century Gothic" w:hAnsi="Century Gothic" w:cs="Century Gothic"/>
          <w:sz w:val="24"/>
          <w:szCs w:val="24"/>
        </w:rPr>
        <w:t>participó en la International Biotechnology Information Conference, organizada por el U.S. Grains Council, del 21 al 25 de septiembre, celebrada en Washington, DC y Des Moines, Iowa.</w:t>
      </w:r>
    </w:p>
    <w:p w:rsidR="00000000" w:rsidRDefault="009C35BF">
      <w:pPr>
        <w:pStyle w:val="Fuentedeprrafopredeter"/>
        <w:widowControl w:val="0"/>
        <w:autoSpaceDE w:val="0"/>
        <w:autoSpaceDN w:val="0"/>
        <w:adjustRightInd w:val="0"/>
        <w:spacing w:after="0" w:line="362" w:lineRule="exact"/>
        <w:rPr>
          <w:rFonts w:ascii="Times New Roman" w:hAnsi="Times New Roman" w:cs="Times New Roman"/>
          <w:sz w:val="24"/>
          <w:szCs w:val="24"/>
        </w:rPr>
      </w:pPr>
    </w:p>
    <w:p w:rsidR="00000000" w:rsidRDefault="009C35BF">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sz w:val="24"/>
          <w:szCs w:val="24"/>
        </w:rPr>
        <w:t>Se mantuvo y fortaleció la colaboración con evaluadores y reguladores de</w:t>
      </w:r>
      <w:r>
        <w:rPr>
          <w:rFonts w:ascii="Century Gothic" w:hAnsi="Century Gothic" w:cs="Century Gothic"/>
          <w:sz w:val="24"/>
          <w:szCs w:val="24"/>
        </w:rPr>
        <w:t xml:space="preserve"> Canadá y Estados Unidos, en el contexto de la North American Biotechnology Initiative (NABI), a través de las conferencias bimensuales, de la Reunión Anual Trilateral Técnica que tuvo lugar en Washington del 25 al 29 de mayo, y para la que la Secretaría E</w:t>
      </w:r>
      <w:r>
        <w:rPr>
          <w:rFonts w:ascii="Century Gothic" w:hAnsi="Century Gothic" w:cs="Century Gothic"/>
          <w:sz w:val="24"/>
          <w:szCs w:val="24"/>
        </w:rPr>
        <w:t>jecutiva coordinó la participación de México, y a través del Taller sobre Comunicación de Riesgo que se llevó a cabo en la Ciudad de México el 19 y 20 de noviembre.</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4"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40" w:lineRule="auto"/>
        <w:ind w:left="4800"/>
        <w:rPr>
          <w:rFonts w:ascii="Times New Roman" w:hAnsi="Times New Roman" w:cs="Times New Roman"/>
          <w:sz w:val="24"/>
          <w:szCs w:val="24"/>
        </w:rPr>
      </w:pPr>
      <w:r>
        <w:rPr>
          <w:rFonts w:ascii="Century Gothic" w:hAnsi="Century Gothic" w:cs="Century Gothic"/>
          <w:sz w:val="23"/>
          <w:szCs w:val="23"/>
        </w:rPr>
        <w:t>México D.F. diciembre de 2009</w:t>
      </w: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9C35BF">
      <w:pPr>
        <w:pStyle w:val="Fuentedeprrafopredeter"/>
        <w:widowControl w:val="0"/>
        <w:autoSpaceDE w:val="0"/>
        <w:autoSpaceDN w:val="0"/>
        <w:adjustRightInd w:val="0"/>
        <w:spacing w:after="0" w:line="265" w:lineRule="exact"/>
        <w:rPr>
          <w:rFonts w:ascii="Times New Roman" w:hAnsi="Times New Roman" w:cs="Times New Roman"/>
          <w:sz w:val="24"/>
          <w:szCs w:val="24"/>
        </w:rPr>
      </w:pPr>
    </w:p>
    <w:p w:rsidR="009C35BF" w:rsidRDefault="009C35BF">
      <w:pPr>
        <w:pStyle w:val="Fuentedeprrafopredete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sectPr w:rsidR="009C35BF">
      <w:pgSz w:w="12240" w:h="15842"/>
      <w:pgMar w:top="509" w:right="2160" w:bottom="860" w:left="1700" w:header="720" w:footer="720" w:gutter="0"/>
      <w:cols w:space="720" w:equalWidth="0">
        <w:col w:w="83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42"/>
    <w:rsid w:val="009B4242"/>
    <w:rsid w:val="009C35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biogem.gob.mx/Docum_interes/Implementacion_ley.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2782</Words>
  <Characters>15301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González</dc:creator>
  <cp:lastModifiedBy>Javier González</cp:lastModifiedBy>
  <cp:revision>2</cp:revision>
  <dcterms:created xsi:type="dcterms:W3CDTF">2015-01-09T23:07:00Z</dcterms:created>
  <dcterms:modified xsi:type="dcterms:W3CDTF">2015-01-09T23:07:00Z</dcterms:modified>
</cp:coreProperties>
</file>