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EB" w:rsidRPr="00CB2DCF" w:rsidRDefault="007F35EB" w:rsidP="005F094E">
      <w:pPr>
        <w:jc w:val="center"/>
        <w:rPr>
          <w:rFonts w:ascii="Arial" w:hAnsi="Arial" w:cs="Arial"/>
          <w:b/>
        </w:rPr>
      </w:pPr>
      <w:bookmarkStart w:id="0" w:name="_GoBack"/>
      <w:bookmarkEnd w:id="0"/>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4A3A13" w:rsidRDefault="004A3A13" w:rsidP="005F094E">
      <w:pPr>
        <w:jc w:val="center"/>
        <w:rPr>
          <w:rFonts w:ascii="Arial" w:hAnsi="Arial" w:cs="Arial"/>
          <w:b/>
        </w:rPr>
      </w:pPr>
    </w:p>
    <w:p w:rsidR="00CB2DCF" w:rsidRDefault="00CB2DCF" w:rsidP="005F094E">
      <w:pPr>
        <w:jc w:val="center"/>
        <w:rPr>
          <w:rFonts w:ascii="Arial" w:hAnsi="Arial" w:cs="Arial"/>
          <w:b/>
        </w:rPr>
      </w:pPr>
    </w:p>
    <w:p w:rsidR="00CB2DCF" w:rsidRDefault="00CB2DCF" w:rsidP="005F094E">
      <w:pPr>
        <w:jc w:val="center"/>
        <w:rPr>
          <w:rFonts w:ascii="Arial" w:hAnsi="Arial" w:cs="Arial"/>
          <w:b/>
        </w:rPr>
      </w:pPr>
    </w:p>
    <w:p w:rsidR="00CB2DCF" w:rsidRDefault="00CB2DCF" w:rsidP="005F094E">
      <w:pPr>
        <w:jc w:val="center"/>
        <w:rPr>
          <w:rFonts w:ascii="Arial" w:hAnsi="Arial" w:cs="Arial"/>
          <w:b/>
        </w:rPr>
      </w:pPr>
    </w:p>
    <w:p w:rsidR="00CB2DCF" w:rsidRDefault="00CB2DCF" w:rsidP="005F094E">
      <w:pPr>
        <w:jc w:val="center"/>
        <w:rPr>
          <w:rFonts w:ascii="Arial" w:hAnsi="Arial" w:cs="Arial"/>
          <w:b/>
        </w:rPr>
      </w:pPr>
    </w:p>
    <w:p w:rsidR="004D11E5" w:rsidRDefault="004D11E5" w:rsidP="005F094E">
      <w:pPr>
        <w:jc w:val="center"/>
        <w:rPr>
          <w:rFonts w:ascii="Arial" w:hAnsi="Arial" w:cs="Arial"/>
          <w:b/>
        </w:rPr>
      </w:pPr>
    </w:p>
    <w:p w:rsidR="004D11E5" w:rsidRDefault="004D11E5" w:rsidP="005F094E">
      <w:pPr>
        <w:jc w:val="center"/>
        <w:rPr>
          <w:rFonts w:ascii="Arial" w:hAnsi="Arial" w:cs="Arial"/>
          <w:b/>
        </w:rPr>
      </w:pPr>
    </w:p>
    <w:p w:rsidR="004D11E5" w:rsidRDefault="004D11E5" w:rsidP="005F094E">
      <w:pPr>
        <w:jc w:val="center"/>
        <w:rPr>
          <w:rFonts w:ascii="Arial" w:hAnsi="Arial" w:cs="Arial"/>
          <w:b/>
        </w:rPr>
      </w:pPr>
    </w:p>
    <w:p w:rsidR="004D11E5" w:rsidRPr="00CB2DCF" w:rsidRDefault="004D11E5" w:rsidP="005F094E">
      <w:pPr>
        <w:jc w:val="center"/>
        <w:rPr>
          <w:rFonts w:ascii="Arial" w:hAnsi="Arial" w:cs="Arial"/>
          <w:b/>
        </w:rPr>
      </w:pPr>
    </w:p>
    <w:p w:rsidR="004A3A13" w:rsidRPr="00CB2DCF" w:rsidRDefault="004A3A13"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5F094E">
      <w:pPr>
        <w:jc w:val="center"/>
        <w:rPr>
          <w:rFonts w:ascii="Arial" w:hAnsi="Arial" w:cs="Arial"/>
          <w:b/>
        </w:rPr>
      </w:pPr>
    </w:p>
    <w:p w:rsidR="007F35EB" w:rsidRPr="00CB2DCF" w:rsidRDefault="007F35EB" w:rsidP="007F35EB">
      <w:pPr>
        <w:autoSpaceDE w:val="0"/>
        <w:autoSpaceDN w:val="0"/>
        <w:adjustRightInd w:val="0"/>
        <w:jc w:val="center"/>
        <w:rPr>
          <w:rFonts w:ascii="Arial" w:hAnsi="Arial" w:cs="Arial"/>
          <w:b/>
          <w:bCs/>
          <w:sz w:val="32"/>
          <w:szCs w:val="32"/>
          <w:lang w:eastAsia="es-MX"/>
        </w:rPr>
      </w:pPr>
      <w:r w:rsidRPr="00CB2DCF">
        <w:rPr>
          <w:rFonts w:ascii="Arial" w:hAnsi="Arial" w:cs="Arial"/>
          <w:b/>
          <w:bCs/>
          <w:sz w:val="32"/>
          <w:szCs w:val="32"/>
          <w:lang w:eastAsia="es-MX"/>
        </w:rPr>
        <w:t>Informe de Trabajo 201</w:t>
      </w:r>
      <w:r w:rsidR="009F0658">
        <w:rPr>
          <w:rFonts w:ascii="Arial" w:hAnsi="Arial" w:cs="Arial"/>
          <w:b/>
          <w:bCs/>
          <w:sz w:val="32"/>
          <w:szCs w:val="32"/>
          <w:lang w:eastAsia="es-MX"/>
        </w:rPr>
        <w:t>4</w:t>
      </w:r>
    </w:p>
    <w:p w:rsidR="004A3A13" w:rsidRPr="00CB2DCF" w:rsidRDefault="004A3A13" w:rsidP="007F35EB">
      <w:pPr>
        <w:autoSpaceDE w:val="0"/>
        <w:autoSpaceDN w:val="0"/>
        <w:adjustRightInd w:val="0"/>
        <w:jc w:val="center"/>
        <w:rPr>
          <w:rFonts w:ascii="Arial" w:hAnsi="Arial" w:cs="Arial"/>
          <w:b/>
          <w:bCs/>
          <w:sz w:val="32"/>
          <w:szCs w:val="32"/>
          <w:lang w:eastAsia="es-MX"/>
        </w:rPr>
      </w:pPr>
    </w:p>
    <w:p w:rsidR="007F35EB" w:rsidRPr="00CB2DCF" w:rsidRDefault="007F35EB" w:rsidP="007F35EB">
      <w:pPr>
        <w:autoSpaceDE w:val="0"/>
        <w:autoSpaceDN w:val="0"/>
        <w:adjustRightInd w:val="0"/>
        <w:jc w:val="center"/>
        <w:rPr>
          <w:rFonts w:ascii="Arial" w:hAnsi="Arial" w:cs="Arial"/>
          <w:b/>
          <w:bCs/>
          <w:sz w:val="32"/>
          <w:szCs w:val="32"/>
          <w:lang w:eastAsia="es-MX"/>
        </w:rPr>
      </w:pPr>
      <w:r w:rsidRPr="00CB2DCF">
        <w:rPr>
          <w:rFonts w:ascii="Arial" w:hAnsi="Arial" w:cs="Arial"/>
          <w:b/>
          <w:bCs/>
          <w:sz w:val="32"/>
          <w:szCs w:val="32"/>
          <w:lang w:eastAsia="es-MX"/>
        </w:rPr>
        <w:t>SECRETARÍA EJECUTIVA DE LA COMISIÓN</w:t>
      </w:r>
    </w:p>
    <w:p w:rsidR="007F35EB" w:rsidRPr="00CB2DCF" w:rsidRDefault="007F35EB" w:rsidP="007F35EB">
      <w:pPr>
        <w:autoSpaceDE w:val="0"/>
        <w:autoSpaceDN w:val="0"/>
        <w:adjustRightInd w:val="0"/>
        <w:jc w:val="center"/>
        <w:rPr>
          <w:rFonts w:ascii="Arial" w:hAnsi="Arial" w:cs="Arial"/>
          <w:b/>
          <w:bCs/>
          <w:sz w:val="32"/>
          <w:szCs w:val="32"/>
          <w:lang w:eastAsia="es-MX"/>
        </w:rPr>
      </w:pPr>
      <w:r w:rsidRPr="00CB2DCF">
        <w:rPr>
          <w:rFonts w:ascii="Arial" w:hAnsi="Arial" w:cs="Arial"/>
          <w:b/>
          <w:bCs/>
          <w:sz w:val="32"/>
          <w:szCs w:val="32"/>
          <w:lang w:eastAsia="es-MX"/>
        </w:rPr>
        <w:t>INTERSECRETARIAL DE BIOSEGURIDAD DE LOS</w:t>
      </w:r>
    </w:p>
    <w:p w:rsidR="007F35EB" w:rsidRPr="00CB2DCF" w:rsidRDefault="007F35EB" w:rsidP="007F35EB">
      <w:pPr>
        <w:autoSpaceDE w:val="0"/>
        <w:autoSpaceDN w:val="0"/>
        <w:adjustRightInd w:val="0"/>
        <w:jc w:val="center"/>
        <w:rPr>
          <w:rFonts w:ascii="Arial" w:hAnsi="Arial" w:cs="Arial"/>
          <w:b/>
          <w:bCs/>
          <w:sz w:val="32"/>
          <w:szCs w:val="32"/>
          <w:lang w:eastAsia="es-MX"/>
        </w:rPr>
      </w:pPr>
      <w:r w:rsidRPr="00CB2DCF">
        <w:rPr>
          <w:rFonts w:ascii="Arial" w:hAnsi="Arial" w:cs="Arial"/>
          <w:b/>
          <w:bCs/>
          <w:sz w:val="32"/>
          <w:szCs w:val="32"/>
          <w:lang w:eastAsia="es-MX"/>
        </w:rPr>
        <w:t>ORGANISMOS GENÉTICAMENTE MODIFICADOS</w:t>
      </w:r>
    </w:p>
    <w:p w:rsidR="00CB2DCF" w:rsidRDefault="00CB2DCF" w:rsidP="007F35EB">
      <w:pPr>
        <w:autoSpaceDE w:val="0"/>
        <w:autoSpaceDN w:val="0"/>
        <w:adjustRightInd w:val="0"/>
        <w:rPr>
          <w:rFonts w:ascii="Arial" w:hAnsi="Arial" w:cs="Arial"/>
          <w:b/>
          <w:bCs/>
          <w:sz w:val="22"/>
          <w:szCs w:val="22"/>
          <w:lang w:eastAsia="es-MX"/>
        </w:rPr>
      </w:pPr>
    </w:p>
    <w:p w:rsidR="00CB2DCF" w:rsidRDefault="00CB2DCF" w:rsidP="007F35EB">
      <w:pPr>
        <w:autoSpaceDE w:val="0"/>
        <w:autoSpaceDN w:val="0"/>
        <w:adjustRightInd w:val="0"/>
        <w:rPr>
          <w:rFonts w:ascii="Arial" w:hAnsi="Arial" w:cs="Arial"/>
          <w:b/>
          <w:bCs/>
          <w:sz w:val="22"/>
          <w:szCs w:val="22"/>
          <w:lang w:eastAsia="es-MX"/>
        </w:rPr>
      </w:pPr>
    </w:p>
    <w:p w:rsidR="00CB2DCF" w:rsidRDefault="00CB2DCF" w:rsidP="007F35EB">
      <w:pPr>
        <w:autoSpaceDE w:val="0"/>
        <w:autoSpaceDN w:val="0"/>
        <w:adjustRightInd w:val="0"/>
        <w:rPr>
          <w:rFonts w:ascii="Arial" w:hAnsi="Arial" w:cs="Arial"/>
          <w:b/>
          <w:bCs/>
          <w:sz w:val="22"/>
          <w:szCs w:val="22"/>
          <w:lang w:eastAsia="es-MX"/>
        </w:rPr>
      </w:pPr>
    </w:p>
    <w:p w:rsidR="00CB2DCF" w:rsidRDefault="00CB2DCF" w:rsidP="007F35EB">
      <w:pPr>
        <w:autoSpaceDE w:val="0"/>
        <w:autoSpaceDN w:val="0"/>
        <w:adjustRightInd w:val="0"/>
        <w:rPr>
          <w:rFonts w:ascii="Arial" w:hAnsi="Arial" w:cs="Arial"/>
          <w:b/>
          <w:bCs/>
          <w:sz w:val="22"/>
          <w:szCs w:val="22"/>
          <w:lang w:eastAsia="es-MX"/>
        </w:rPr>
      </w:pPr>
    </w:p>
    <w:p w:rsidR="00CB2DCF" w:rsidRDefault="00CB2DCF" w:rsidP="007F35EB">
      <w:pPr>
        <w:autoSpaceDE w:val="0"/>
        <w:autoSpaceDN w:val="0"/>
        <w:adjustRightInd w:val="0"/>
        <w:rPr>
          <w:rFonts w:ascii="Arial" w:hAnsi="Arial" w:cs="Arial"/>
          <w:b/>
          <w:bCs/>
          <w:sz w:val="22"/>
          <w:szCs w:val="22"/>
          <w:lang w:eastAsia="es-MX"/>
        </w:rPr>
      </w:pPr>
    </w:p>
    <w:p w:rsidR="007F35EB" w:rsidRDefault="007F35EB" w:rsidP="007F35EB">
      <w:pPr>
        <w:autoSpaceDE w:val="0"/>
        <w:autoSpaceDN w:val="0"/>
        <w:adjustRightInd w:val="0"/>
        <w:rPr>
          <w:rFonts w:ascii="Arial" w:hAnsi="Arial" w:cs="Arial"/>
          <w:b/>
          <w:bCs/>
          <w:sz w:val="22"/>
          <w:szCs w:val="22"/>
          <w:lang w:eastAsia="es-MX"/>
        </w:rPr>
      </w:pPr>
      <w:r w:rsidRPr="00CB2DCF">
        <w:rPr>
          <w:rFonts w:ascii="Arial" w:hAnsi="Arial" w:cs="Arial"/>
          <w:b/>
          <w:bCs/>
          <w:sz w:val="22"/>
          <w:szCs w:val="22"/>
          <w:lang w:eastAsia="es-MX"/>
        </w:rPr>
        <w:t>Contenido</w:t>
      </w:r>
    </w:p>
    <w:p w:rsidR="00CB2DCF" w:rsidRPr="00CB2DCF" w:rsidRDefault="00CB2DCF" w:rsidP="007F35EB">
      <w:pPr>
        <w:autoSpaceDE w:val="0"/>
        <w:autoSpaceDN w:val="0"/>
        <w:adjustRightInd w:val="0"/>
        <w:rPr>
          <w:rFonts w:ascii="Arial" w:hAnsi="Arial" w:cs="Arial"/>
          <w:b/>
          <w:bCs/>
          <w:sz w:val="22"/>
          <w:szCs w:val="22"/>
          <w:lang w:eastAsia="es-MX"/>
        </w:rPr>
      </w:pPr>
    </w:p>
    <w:p w:rsidR="007F35EB" w:rsidRDefault="007F35EB" w:rsidP="007F35EB">
      <w:pPr>
        <w:autoSpaceDE w:val="0"/>
        <w:autoSpaceDN w:val="0"/>
        <w:adjustRightInd w:val="0"/>
        <w:rPr>
          <w:rFonts w:ascii="Arial" w:hAnsi="Arial" w:cs="Arial"/>
          <w:b/>
          <w:bCs/>
          <w:sz w:val="22"/>
          <w:szCs w:val="22"/>
          <w:lang w:eastAsia="es-MX"/>
        </w:rPr>
      </w:pPr>
      <w:r w:rsidRPr="00CB2DCF">
        <w:rPr>
          <w:rFonts w:ascii="Arial" w:hAnsi="Arial" w:cs="Arial"/>
          <w:b/>
          <w:bCs/>
          <w:sz w:val="22"/>
          <w:szCs w:val="22"/>
          <w:lang w:eastAsia="es-MX"/>
        </w:rPr>
        <w:t>Introducción</w:t>
      </w:r>
    </w:p>
    <w:p w:rsidR="00CB2DCF" w:rsidRPr="00CB2DCF" w:rsidRDefault="00CB2DCF" w:rsidP="007F35EB">
      <w:pPr>
        <w:autoSpaceDE w:val="0"/>
        <w:autoSpaceDN w:val="0"/>
        <w:adjustRightInd w:val="0"/>
        <w:rPr>
          <w:rFonts w:ascii="Arial" w:hAnsi="Arial" w:cs="Arial"/>
          <w:b/>
          <w:bCs/>
          <w:sz w:val="22"/>
          <w:szCs w:val="22"/>
          <w:lang w:eastAsia="es-MX"/>
        </w:rPr>
      </w:pPr>
    </w:p>
    <w:p w:rsidR="007F35EB" w:rsidRDefault="007F35EB" w:rsidP="007F35EB">
      <w:pPr>
        <w:autoSpaceDE w:val="0"/>
        <w:autoSpaceDN w:val="0"/>
        <w:adjustRightInd w:val="0"/>
        <w:rPr>
          <w:rFonts w:ascii="Arial" w:hAnsi="Arial" w:cs="Arial"/>
          <w:b/>
          <w:bCs/>
          <w:sz w:val="22"/>
          <w:szCs w:val="22"/>
          <w:lang w:eastAsia="es-MX"/>
        </w:rPr>
      </w:pPr>
      <w:r w:rsidRPr="00CB2DCF">
        <w:rPr>
          <w:rFonts w:ascii="Arial" w:hAnsi="Arial" w:cs="Arial"/>
          <w:b/>
          <w:bCs/>
          <w:sz w:val="22"/>
          <w:szCs w:val="22"/>
          <w:lang w:eastAsia="es-MX"/>
        </w:rPr>
        <w:t>Sesiones de la CIBIOGEM y sus Órganos Técnicos y Consultivos</w:t>
      </w:r>
    </w:p>
    <w:p w:rsidR="00CB2DCF" w:rsidRPr="00CB2DCF" w:rsidRDefault="00CB2DCF" w:rsidP="007F35EB">
      <w:pPr>
        <w:autoSpaceDE w:val="0"/>
        <w:autoSpaceDN w:val="0"/>
        <w:adjustRightInd w:val="0"/>
        <w:rPr>
          <w:rFonts w:ascii="Arial" w:hAnsi="Arial" w:cs="Arial"/>
          <w:b/>
          <w:bCs/>
          <w:sz w:val="22"/>
          <w:szCs w:val="22"/>
          <w:lang w:eastAsia="es-MX"/>
        </w:rPr>
      </w:pPr>
    </w:p>
    <w:p w:rsidR="007F35EB" w:rsidRPr="00CB2DCF" w:rsidRDefault="007F35EB" w:rsidP="007F35EB">
      <w:pPr>
        <w:autoSpaceDE w:val="0"/>
        <w:autoSpaceDN w:val="0"/>
        <w:adjustRightInd w:val="0"/>
        <w:rPr>
          <w:rFonts w:ascii="Arial" w:hAnsi="Arial" w:cs="Arial"/>
          <w:b/>
          <w:bCs/>
          <w:sz w:val="22"/>
          <w:szCs w:val="22"/>
          <w:lang w:eastAsia="es-MX"/>
        </w:rPr>
      </w:pPr>
      <w:r w:rsidRPr="00CB2DCF">
        <w:rPr>
          <w:rFonts w:ascii="Arial" w:hAnsi="Arial" w:cs="Arial"/>
          <w:b/>
          <w:bCs/>
          <w:sz w:val="22"/>
          <w:szCs w:val="22"/>
          <w:lang w:eastAsia="es-MX"/>
        </w:rPr>
        <w:t>Programa de Trabajo Bianual de la CIBIOGEM</w:t>
      </w:r>
    </w:p>
    <w:p w:rsidR="00752D76" w:rsidRPr="00CB2DCF" w:rsidRDefault="00752D76" w:rsidP="00752D76">
      <w:pPr>
        <w:pStyle w:val="Prrafodelista"/>
        <w:numPr>
          <w:ilvl w:val="0"/>
          <w:numId w:val="26"/>
        </w:numPr>
        <w:jc w:val="both"/>
        <w:rPr>
          <w:rFonts w:cs="Arial"/>
          <w:kern w:val="24"/>
          <w:sz w:val="22"/>
          <w:lang w:eastAsia="es-MX"/>
        </w:rPr>
      </w:pPr>
      <w:r w:rsidRPr="00CB2DCF">
        <w:rPr>
          <w:rFonts w:cs="Arial"/>
          <w:kern w:val="24"/>
          <w:sz w:val="22"/>
          <w:lang w:eastAsia="es-MX"/>
        </w:rPr>
        <w:t>Fomentar y desarrollar la investigación y generar herramientas para atender las necesidades nacionales en materia de bioseguridad y biotecnología</w:t>
      </w:r>
    </w:p>
    <w:p w:rsidR="00752D76" w:rsidRPr="00CB2DCF" w:rsidRDefault="00752D76" w:rsidP="00752D76">
      <w:pPr>
        <w:pStyle w:val="Prrafodelista"/>
        <w:numPr>
          <w:ilvl w:val="0"/>
          <w:numId w:val="26"/>
        </w:numPr>
        <w:jc w:val="both"/>
        <w:rPr>
          <w:rFonts w:cs="Arial"/>
          <w:kern w:val="24"/>
          <w:sz w:val="22"/>
          <w:lang w:eastAsia="es-MX"/>
        </w:rPr>
      </w:pPr>
      <w:r w:rsidRPr="00CB2DCF">
        <w:rPr>
          <w:rFonts w:cs="Arial"/>
          <w:kern w:val="24"/>
          <w:sz w:val="22"/>
          <w:lang w:eastAsia="es-MX"/>
        </w:rPr>
        <w:t>Información y difusión</w:t>
      </w:r>
    </w:p>
    <w:p w:rsidR="00752D76" w:rsidRPr="00CB2DCF" w:rsidRDefault="00752D76" w:rsidP="00752D76">
      <w:pPr>
        <w:pStyle w:val="Prrafodelista"/>
        <w:numPr>
          <w:ilvl w:val="0"/>
          <w:numId w:val="26"/>
        </w:numPr>
        <w:jc w:val="both"/>
        <w:rPr>
          <w:rFonts w:cs="Arial"/>
          <w:kern w:val="24"/>
          <w:sz w:val="22"/>
          <w:lang w:eastAsia="es-MX"/>
        </w:rPr>
      </w:pPr>
      <w:r w:rsidRPr="00CB2DCF">
        <w:rPr>
          <w:rFonts w:cs="Arial"/>
          <w:kern w:val="24"/>
          <w:sz w:val="22"/>
          <w:lang w:eastAsia="es-MX"/>
        </w:rPr>
        <w:t>Implementación y seguimiento de manera coordinada del marco regulatorio y las políticas públicas en bioseguridad</w:t>
      </w:r>
    </w:p>
    <w:p w:rsidR="00752D76" w:rsidRPr="00CB2DCF" w:rsidRDefault="00752D76" w:rsidP="00752D76">
      <w:pPr>
        <w:pStyle w:val="Prrafodelista"/>
        <w:numPr>
          <w:ilvl w:val="0"/>
          <w:numId w:val="26"/>
        </w:numPr>
        <w:jc w:val="both"/>
        <w:rPr>
          <w:rFonts w:cs="Arial"/>
          <w:kern w:val="24"/>
          <w:sz w:val="22"/>
          <w:lang w:eastAsia="es-MX"/>
        </w:rPr>
      </w:pPr>
      <w:r w:rsidRPr="00CB2DCF">
        <w:rPr>
          <w:rFonts w:cs="Arial"/>
          <w:kern w:val="24"/>
          <w:sz w:val="22"/>
          <w:lang w:eastAsia="es-MX"/>
        </w:rPr>
        <w:t>Fortalecimiento de capacidades para el uso seguro y responsable de la biotecnología</w:t>
      </w:r>
      <w:r w:rsidR="00492BA0" w:rsidRPr="00CB2DCF">
        <w:rPr>
          <w:rFonts w:cs="Arial"/>
          <w:kern w:val="24"/>
          <w:sz w:val="22"/>
          <w:lang w:eastAsia="es-MX"/>
        </w:rPr>
        <w:t>.</w:t>
      </w:r>
    </w:p>
    <w:p w:rsidR="00A87CDE" w:rsidRDefault="00A87CDE" w:rsidP="005F094E">
      <w:pPr>
        <w:jc w:val="center"/>
        <w:rPr>
          <w:rFonts w:ascii="Arial" w:hAnsi="Arial" w:cs="Arial"/>
          <w:b/>
          <w:sz w:val="22"/>
          <w:szCs w:val="22"/>
        </w:rPr>
      </w:pPr>
    </w:p>
    <w:p w:rsidR="00A87CDE" w:rsidRPr="00CB2DCF" w:rsidRDefault="00A87CDE" w:rsidP="005F094E">
      <w:pPr>
        <w:jc w:val="center"/>
        <w:rPr>
          <w:rFonts w:ascii="Arial" w:hAnsi="Arial" w:cs="Arial"/>
          <w:b/>
          <w:sz w:val="22"/>
          <w:szCs w:val="22"/>
        </w:rPr>
      </w:pPr>
    </w:p>
    <w:p w:rsidR="00A87CDE" w:rsidRDefault="00A87CDE" w:rsidP="00A87CDE">
      <w:pPr>
        <w:jc w:val="right"/>
        <w:rPr>
          <w:rFonts w:ascii="Arial" w:hAnsi="Arial" w:cs="Arial"/>
          <w:bCs/>
          <w:i/>
          <w:szCs w:val="22"/>
        </w:rPr>
      </w:pPr>
      <w:r>
        <w:rPr>
          <w:rFonts w:ascii="Arial" w:hAnsi="Arial" w:cs="Arial"/>
          <w:bCs/>
          <w:i/>
          <w:szCs w:val="22"/>
        </w:rPr>
        <w:t>Fecha de última modificación: 1</w:t>
      </w:r>
      <w:r w:rsidR="009F0658">
        <w:rPr>
          <w:rFonts w:ascii="Arial" w:hAnsi="Arial" w:cs="Arial"/>
          <w:bCs/>
          <w:i/>
          <w:szCs w:val="22"/>
        </w:rPr>
        <w:t>4</w:t>
      </w:r>
      <w:r>
        <w:rPr>
          <w:rFonts w:ascii="Arial" w:hAnsi="Arial" w:cs="Arial"/>
          <w:bCs/>
          <w:i/>
          <w:szCs w:val="22"/>
        </w:rPr>
        <w:t xml:space="preserve"> de </w:t>
      </w:r>
      <w:r w:rsidR="009F0658">
        <w:rPr>
          <w:rFonts w:ascii="Arial" w:hAnsi="Arial" w:cs="Arial"/>
          <w:bCs/>
          <w:i/>
          <w:szCs w:val="22"/>
        </w:rPr>
        <w:t>abril</w:t>
      </w:r>
      <w:r>
        <w:rPr>
          <w:rFonts w:ascii="Arial" w:hAnsi="Arial" w:cs="Arial"/>
          <w:bCs/>
          <w:i/>
          <w:szCs w:val="22"/>
        </w:rPr>
        <w:t xml:space="preserve"> de 201</w:t>
      </w:r>
      <w:r w:rsidR="009F0658">
        <w:rPr>
          <w:rFonts w:ascii="Arial" w:hAnsi="Arial" w:cs="Arial"/>
          <w:bCs/>
          <w:i/>
          <w:szCs w:val="22"/>
        </w:rPr>
        <w:t>5</w:t>
      </w:r>
    </w:p>
    <w:p w:rsidR="007F35EB" w:rsidRPr="00CB2DCF" w:rsidRDefault="007F35EB" w:rsidP="005F094E">
      <w:pPr>
        <w:jc w:val="center"/>
        <w:rPr>
          <w:rFonts w:ascii="Arial" w:hAnsi="Arial" w:cs="Arial"/>
          <w:b/>
          <w:sz w:val="22"/>
          <w:szCs w:val="22"/>
        </w:rPr>
      </w:pPr>
    </w:p>
    <w:p w:rsidR="004A3A13" w:rsidRPr="00CB2DCF" w:rsidRDefault="004A3A13" w:rsidP="004A3A13">
      <w:pPr>
        <w:kinsoku w:val="0"/>
        <w:overflowPunct w:val="0"/>
        <w:jc w:val="both"/>
        <w:textAlignment w:val="baseline"/>
        <w:rPr>
          <w:rFonts w:ascii="Arial" w:hAnsi="Arial" w:cs="Arial"/>
          <w:b/>
          <w:bCs/>
          <w:kern w:val="24"/>
          <w:sz w:val="22"/>
          <w:szCs w:val="22"/>
          <w:lang w:eastAsia="es-MX"/>
        </w:rPr>
      </w:pPr>
      <w:r w:rsidRPr="00CB2DCF">
        <w:rPr>
          <w:rFonts w:ascii="Arial" w:hAnsi="Arial" w:cs="Arial"/>
          <w:b/>
          <w:bCs/>
          <w:kern w:val="24"/>
          <w:sz w:val="22"/>
          <w:szCs w:val="22"/>
          <w:lang w:eastAsia="es-MX"/>
        </w:rPr>
        <w:t xml:space="preserve">INTRODUCCIÓN </w:t>
      </w:r>
    </w:p>
    <w:p w:rsidR="0077170F" w:rsidRPr="00CB2DCF" w:rsidRDefault="0077170F" w:rsidP="00CB2DCF">
      <w:pPr>
        <w:kinsoku w:val="0"/>
        <w:overflowPunct w:val="0"/>
        <w:jc w:val="both"/>
        <w:textAlignment w:val="baseline"/>
        <w:rPr>
          <w:rFonts w:ascii="Arial" w:hAnsi="Arial" w:cs="Arial"/>
          <w:b/>
          <w:bCs/>
          <w:kern w:val="24"/>
          <w:sz w:val="22"/>
          <w:szCs w:val="22"/>
          <w:lang w:eastAsia="es-MX"/>
        </w:rPr>
      </w:pPr>
    </w:p>
    <w:p w:rsidR="0095223C" w:rsidRDefault="0095223C" w:rsidP="00CB2DCF">
      <w:pPr>
        <w:autoSpaceDE w:val="0"/>
        <w:autoSpaceDN w:val="0"/>
        <w:adjustRightInd w:val="0"/>
        <w:jc w:val="both"/>
        <w:rPr>
          <w:rFonts w:ascii="Arial" w:hAnsi="Arial" w:cs="Arial"/>
          <w:sz w:val="22"/>
          <w:szCs w:val="22"/>
          <w:lang w:eastAsia="es-MX"/>
        </w:rPr>
      </w:pPr>
      <w:r w:rsidRPr="00CB2DCF">
        <w:rPr>
          <w:rFonts w:ascii="Arial" w:hAnsi="Arial" w:cs="Arial"/>
          <w:sz w:val="22"/>
          <w:szCs w:val="22"/>
          <w:lang w:eastAsia="es-MX"/>
        </w:rPr>
        <w:t>La Secretaría Ejecutiva de la Comisión Intersecretarial de Bioseguridad de los Organismos Genéticamente Modificados (CIBIOGEM) presenta a los miembros de la Comisión, su informe de actividades correspondiente al año 201</w:t>
      </w:r>
      <w:r w:rsidR="009F0658">
        <w:rPr>
          <w:rFonts w:ascii="Arial" w:hAnsi="Arial" w:cs="Arial"/>
          <w:sz w:val="22"/>
          <w:szCs w:val="22"/>
          <w:lang w:eastAsia="es-MX"/>
        </w:rPr>
        <w:t>4</w:t>
      </w:r>
      <w:r w:rsidRPr="00CB2DCF">
        <w:rPr>
          <w:rFonts w:ascii="Arial" w:hAnsi="Arial" w:cs="Arial"/>
          <w:sz w:val="22"/>
          <w:szCs w:val="22"/>
          <w:lang w:eastAsia="es-MX"/>
        </w:rPr>
        <w:t>.</w:t>
      </w:r>
    </w:p>
    <w:p w:rsidR="00CB2DCF" w:rsidRPr="00CB2DCF" w:rsidRDefault="00CB2DCF" w:rsidP="00CB2DCF">
      <w:pPr>
        <w:autoSpaceDE w:val="0"/>
        <w:autoSpaceDN w:val="0"/>
        <w:adjustRightInd w:val="0"/>
        <w:jc w:val="both"/>
        <w:rPr>
          <w:rFonts w:ascii="Arial" w:hAnsi="Arial" w:cs="Arial"/>
          <w:sz w:val="22"/>
          <w:szCs w:val="22"/>
          <w:lang w:eastAsia="es-MX"/>
        </w:rPr>
      </w:pPr>
    </w:p>
    <w:p w:rsidR="0095223C" w:rsidRDefault="0095223C" w:rsidP="00CB2DCF">
      <w:pPr>
        <w:autoSpaceDE w:val="0"/>
        <w:autoSpaceDN w:val="0"/>
        <w:adjustRightInd w:val="0"/>
        <w:jc w:val="both"/>
        <w:rPr>
          <w:rFonts w:ascii="Arial" w:hAnsi="Arial" w:cs="Arial"/>
          <w:sz w:val="22"/>
          <w:szCs w:val="22"/>
          <w:lang w:eastAsia="es-MX"/>
        </w:rPr>
      </w:pPr>
      <w:r w:rsidRPr="00CB2DCF">
        <w:rPr>
          <w:rFonts w:ascii="Arial" w:hAnsi="Arial" w:cs="Arial"/>
          <w:sz w:val="22"/>
          <w:szCs w:val="22"/>
          <w:lang w:eastAsia="es-MX"/>
        </w:rPr>
        <w:t xml:space="preserve">La estructura del informe </w:t>
      </w:r>
      <w:r w:rsidR="00752D76" w:rsidRPr="00CB2DCF">
        <w:rPr>
          <w:rFonts w:ascii="Arial" w:hAnsi="Arial" w:cs="Arial"/>
          <w:sz w:val="22"/>
          <w:szCs w:val="22"/>
          <w:lang w:eastAsia="es-MX"/>
        </w:rPr>
        <w:t>se alinea a</w:t>
      </w:r>
      <w:r w:rsidRPr="00CB2DCF">
        <w:rPr>
          <w:rFonts w:ascii="Arial" w:hAnsi="Arial" w:cs="Arial"/>
          <w:sz w:val="22"/>
          <w:szCs w:val="22"/>
          <w:lang w:eastAsia="es-MX"/>
        </w:rPr>
        <w:t xml:space="preserve"> los Objetivos Generales contenidos en el Programa de Trabajo Bianual 2013-2014 de la CIBIOGEM</w:t>
      </w:r>
      <w:r w:rsidR="00EC0FC5">
        <w:rPr>
          <w:rFonts w:ascii="Arial" w:hAnsi="Arial" w:cs="Arial"/>
          <w:sz w:val="22"/>
          <w:szCs w:val="22"/>
          <w:lang w:eastAsia="es-MX"/>
        </w:rPr>
        <w:t xml:space="preserve"> (PTB)</w:t>
      </w:r>
      <w:r w:rsidRPr="00CB2DCF">
        <w:rPr>
          <w:rFonts w:ascii="Arial" w:hAnsi="Arial" w:cs="Arial"/>
          <w:sz w:val="22"/>
          <w:szCs w:val="22"/>
          <w:lang w:eastAsia="es-MX"/>
        </w:rPr>
        <w:t>. Este informe se ha elaborado con base en las facultades y obligaciones que la legislación aplicable en materia de bioseguridad le confiere a la Secretaría Ejecutiva de CIBIOGEM.</w:t>
      </w:r>
    </w:p>
    <w:p w:rsidR="00CB2DCF" w:rsidRPr="00CB2DCF" w:rsidRDefault="00CB2DCF" w:rsidP="00CB2DCF">
      <w:pPr>
        <w:autoSpaceDE w:val="0"/>
        <w:autoSpaceDN w:val="0"/>
        <w:adjustRightInd w:val="0"/>
        <w:jc w:val="both"/>
        <w:rPr>
          <w:rFonts w:ascii="Arial" w:hAnsi="Arial" w:cs="Arial"/>
          <w:sz w:val="22"/>
          <w:szCs w:val="22"/>
          <w:lang w:eastAsia="es-MX"/>
        </w:rPr>
      </w:pPr>
    </w:p>
    <w:p w:rsidR="0095223C" w:rsidRDefault="0095223C" w:rsidP="00CB2DCF">
      <w:pPr>
        <w:autoSpaceDE w:val="0"/>
        <w:autoSpaceDN w:val="0"/>
        <w:adjustRightInd w:val="0"/>
        <w:jc w:val="both"/>
        <w:rPr>
          <w:rFonts w:ascii="Arial" w:hAnsi="Arial" w:cs="Arial"/>
          <w:sz w:val="22"/>
          <w:szCs w:val="22"/>
          <w:lang w:eastAsia="es-MX"/>
        </w:rPr>
      </w:pPr>
      <w:r w:rsidRPr="00CB2DCF">
        <w:rPr>
          <w:rFonts w:ascii="Arial" w:hAnsi="Arial" w:cs="Arial"/>
          <w:sz w:val="22"/>
          <w:szCs w:val="22"/>
          <w:lang w:eastAsia="es-MX"/>
        </w:rPr>
        <w:t>De igual manera, contiene las actividades realizadas en cumplimiento a los acuerdos asumidos por el Pleno de la CIBIOGEM, así como las efectuadas con el fin de dar cumplimiento a lo dispuesto por el artículo 10 del Reglamento de la CIBIOGEM, que establece las atribuciones que le competen al Secretario Ejecutivo.</w:t>
      </w:r>
    </w:p>
    <w:p w:rsidR="00CB2DCF" w:rsidRPr="00CB2DCF" w:rsidRDefault="00CB2DCF" w:rsidP="00CB2DCF">
      <w:pPr>
        <w:autoSpaceDE w:val="0"/>
        <w:autoSpaceDN w:val="0"/>
        <w:adjustRightInd w:val="0"/>
        <w:jc w:val="both"/>
        <w:rPr>
          <w:rFonts w:ascii="Arial" w:hAnsi="Arial" w:cs="Arial"/>
          <w:sz w:val="22"/>
          <w:szCs w:val="22"/>
          <w:lang w:eastAsia="es-MX"/>
        </w:rPr>
      </w:pPr>
    </w:p>
    <w:p w:rsidR="00752D76" w:rsidRPr="00CB2DCF" w:rsidRDefault="00752D76" w:rsidP="00CB2DCF">
      <w:pPr>
        <w:jc w:val="both"/>
        <w:rPr>
          <w:rFonts w:ascii="Arial" w:hAnsi="Arial" w:cs="Arial"/>
          <w:kern w:val="24"/>
          <w:sz w:val="22"/>
          <w:szCs w:val="22"/>
          <w:lang w:eastAsia="es-MX"/>
        </w:rPr>
      </w:pPr>
      <w:r w:rsidRPr="00CB2DCF">
        <w:rPr>
          <w:rFonts w:ascii="Arial" w:hAnsi="Arial" w:cs="Arial"/>
          <w:kern w:val="24"/>
          <w:sz w:val="22"/>
          <w:szCs w:val="22"/>
          <w:lang w:eastAsia="es-MX"/>
        </w:rPr>
        <w:t xml:space="preserve">Con el propósito de impulsar un enfoque integral del Gobierno de la República en el tema del uso seguro de la biotecnología, el Programa de Trabajo Bianual 2013-2014, consideró las acciones que mandata la </w:t>
      </w:r>
      <w:proofErr w:type="spellStart"/>
      <w:r w:rsidRPr="00CB2DCF">
        <w:rPr>
          <w:rFonts w:ascii="Arial" w:hAnsi="Arial" w:cs="Arial"/>
          <w:kern w:val="24"/>
          <w:sz w:val="22"/>
          <w:szCs w:val="22"/>
          <w:lang w:eastAsia="es-MX"/>
        </w:rPr>
        <w:t>LBOGMs</w:t>
      </w:r>
      <w:proofErr w:type="spellEnd"/>
      <w:r w:rsidRPr="00CB2DCF">
        <w:rPr>
          <w:rFonts w:ascii="Arial" w:hAnsi="Arial" w:cs="Arial"/>
          <w:kern w:val="24"/>
          <w:sz w:val="22"/>
          <w:szCs w:val="22"/>
          <w:lang w:eastAsia="es-MX"/>
        </w:rPr>
        <w:t>, en las que interviene más de una autoridad competente o los órganos consultivos de la CIBIOGEM</w:t>
      </w:r>
      <w:r w:rsidR="002B6931" w:rsidRPr="002B6931">
        <w:rPr>
          <w:rFonts w:ascii="Arial" w:hAnsi="Arial" w:cs="Arial"/>
          <w:kern w:val="24"/>
          <w:sz w:val="22"/>
          <w:szCs w:val="22"/>
          <w:lang w:eastAsia="es-MX"/>
        </w:rPr>
        <w:t xml:space="preserve"> </w:t>
      </w:r>
      <w:r w:rsidR="002B6931">
        <w:rPr>
          <w:rFonts w:ascii="Arial" w:hAnsi="Arial" w:cs="Arial"/>
          <w:kern w:val="24"/>
          <w:sz w:val="22"/>
          <w:szCs w:val="22"/>
          <w:lang w:eastAsia="es-MX"/>
        </w:rPr>
        <w:t>se tomaron en cuenta las metas y estrategias del Plan Nacional de Desarrollo 2013-2018</w:t>
      </w:r>
      <w:r w:rsidRPr="00CB2DCF">
        <w:rPr>
          <w:rFonts w:ascii="Arial" w:hAnsi="Arial" w:cs="Arial"/>
          <w:kern w:val="24"/>
          <w:sz w:val="22"/>
          <w:szCs w:val="22"/>
          <w:lang w:eastAsia="es-MX"/>
        </w:rPr>
        <w:t xml:space="preserve">. Adicionalmente, se incluyeron las acciones necesarias para implementar el </w:t>
      </w:r>
      <w:r w:rsidRPr="00CB2DCF">
        <w:rPr>
          <w:rFonts w:ascii="Arial" w:hAnsi="Arial" w:cs="Arial"/>
          <w:i/>
          <w:kern w:val="24"/>
          <w:sz w:val="22"/>
          <w:szCs w:val="22"/>
          <w:lang w:eastAsia="es-MX"/>
        </w:rPr>
        <w:t>Plan Estratégico para el Protocolo de Cartagena sobre Seguridad de la Biotecnología 2011-2020</w:t>
      </w:r>
      <w:r w:rsidRPr="00CB2DCF">
        <w:rPr>
          <w:rFonts w:ascii="Arial" w:hAnsi="Arial" w:cs="Arial"/>
          <w:kern w:val="24"/>
          <w:sz w:val="22"/>
          <w:szCs w:val="22"/>
          <w:lang w:eastAsia="es-MX"/>
        </w:rPr>
        <w:t xml:space="preserve">, así como las decisiones de la Sexta Reunión de la Conferencia de las Partes del Convenio sobre Diversidad Biológica que actúa como Reunión de las Partes del Protocolo de Cartagena sobre Seguridad de la Biotecnología (COP-MOP 6) y en particular, el </w:t>
      </w:r>
      <w:r w:rsidRPr="00CB2DCF">
        <w:rPr>
          <w:rFonts w:ascii="Arial" w:hAnsi="Arial" w:cs="Arial"/>
          <w:i/>
          <w:kern w:val="24"/>
          <w:sz w:val="22"/>
          <w:szCs w:val="22"/>
          <w:lang w:eastAsia="es-MX"/>
        </w:rPr>
        <w:t>Plan de Acción de Creación de Capacidad Orientado a la Obtención de Resultados (2012-2020)</w:t>
      </w:r>
      <w:r w:rsidRPr="00CB2DCF">
        <w:rPr>
          <w:rFonts w:ascii="Arial" w:hAnsi="Arial" w:cs="Arial"/>
          <w:kern w:val="24"/>
          <w:sz w:val="22"/>
          <w:szCs w:val="22"/>
          <w:lang w:eastAsia="es-MX"/>
        </w:rPr>
        <w:t>, adoptado en la referida reunión.</w:t>
      </w:r>
    </w:p>
    <w:p w:rsidR="00752D76" w:rsidRPr="00CB2DCF" w:rsidRDefault="00752D76" w:rsidP="00CB2DCF">
      <w:pPr>
        <w:jc w:val="both"/>
        <w:rPr>
          <w:rFonts w:ascii="Arial" w:hAnsi="Arial" w:cs="Arial"/>
          <w:kern w:val="24"/>
          <w:sz w:val="22"/>
          <w:szCs w:val="22"/>
          <w:lang w:eastAsia="es-MX"/>
        </w:rPr>
      </w:pPr>
    </w:p>
    <w:p w:rsidR="004A3A13" w:rsidRPr="00CB2DCF" w:rsidRDefault="0095223C" w:rsidP="00CB2DCF">
      <w:pPr>
        <w:autoSpaceDE w:val="0"/>
        <w:autoSpaceDN w:val="0"/>
        <w:adjustRightInd w:val="0"/>
        <w:jc w:val="both"/>
        <w:rPr>
          <w:rFonts w:ascii="Arial" w:hAnsi="Arial" w:cs="Arial"/>
          <w:kern w:val="24"/>
          <w:sz w:val="22"/>
          <w:szCs w:val="22"/>
          <w:lang w:eastAsia="es-MX"/>
        </w:rPr>
      </w:pPr>
      <w:r w:rsidRPr="00CB2DCF">
        <w:rPr>
          <w:rFonts w:ascii="Arial" w:hAnsi="Arial" w:cs="Arial"/>
          <w:sz w:val="22"/>
          <w:szCs w:val="22"/>
          <w:lang w:eastAsia="es-MX"/>
        </w:rPr>
        <w:t>El presente informe abarca del 1º de enero al 31 de diciembre de 201</w:t>
      </w:r>
      <w:r w:rsidR="009F0658">
        <w:rPr>
          <w:rFonts w:ascii="Arial" w:hAnsi="Arial" w:cs="Arial"/>
          <w:sz w:val="22"/>
          <w:szCs w:val="22"/>
          <w:lang w:eastAsia="es-MX"/>
        </w:rPr>
        <w:t>4</w:t>
      </w:r>
      <w:r w:rsidRPr="00CB2DCF">
        <w:rPr>
          <w:rFonts w:ascii="Arial" w:hAnsi="Arial" w:cs="Arial"/>
          <w:sz w:val="22"/>
          <w:szCs w:val="22"/>
          <w:lang w:eastAsia="es-MX"/>
        </w:rPr>
        <w:t>, por lo que se reportan los avances en diferentes actividades, dentro del marco del Programa de Trabajo Bi</w:t>
      </w:r>
      <w:r w:rsidR="000051EC">
        <w:rPr>
          <w:rFonts w:ascii="Arial" w:hAnsi="Arial" w:cs="Arial"/>
          <w:sz w:val="22"/>
          <w:szCs w:val="22"/>
          <w:lang w:eastAsia="es-MX"/>
        </w:rPr>
        <w:t>enal</w:t>
      </w:r>
      <w:r w:rsidR="002B6931">
        <w:rPr>
          <w:rFonts w:ascii="Arial" w:hAnsi="Arial" w:cs="Arial"/>
          <w:sz w:val="22"/>
          <w:szCs w:val="22"/>
          <w:lang w:eastAsia="es-MX"/>
        </w:rPr>
        <w:t xml:space="preserve"> de la CIBIOGEM 2</w:t>
      </w:r>
      <w:r w:rsidR="000051EC">
        <w:rPr>
          <w:rFonts w:ascii="Arial" w:hAnsi="Arial" w:cs="Arial"/>
          <w:sz w:val="22"/>
          <w:szCs w:val="22"/>
          <w:lang w:eastAsia="es-MX"/>
        </w:rPr>
        <w:t>0</w:t>
      </w:r>
      <w:r w:rsidR="002B6931">
        <w:rPr>
          <w:rFonts w:ascii="Arial" w:hAnsi="Arial" w:cs="Arial"/>
          <w:sz w:val="22"/>
          <w:szCs w:val="22"/>
          <w:lang w:eastAsia="es-MX"/>
        </w:rPr>
        <w:t>13-2014</w:t>
      </w:r>
      <w:r w:rsidR="00544D51">
        <w:rPr>
          <w:rFonts w:ascii="Arial" w:hAnsi="Arial" w:cs="Arial"/>
          <w:sz w:val="22"/>
          <w:szCs w:val="22"/>
          <w:lang w:eastAsia="es-MX"/>
        </w:rPr>
        <w:t>.</w:t>
      </w:r>
      <w:r w:rsidR="004A3A13" w:rsidRPr="00CB2DCF">
        <w:rPr>
          <w:rFonts w:ascii="Arial" w:hAnsi="Arial" w:cs="Arial"/>
          <w:kern w:val="24"/>
          <w:sz w:val="22"/>
          <w:szCs w:val="22"/>
          <w:lang w:eastAsia="es-MX"/>
        </w:rPr>
        <w:t xml:space="preserve"> </w:t>
      </w:r>
    </w:p>
    <w:p w:rsidR="004A3A13" w:rsidRPr="00CB2DCF" w:rsidRDefault="004A3A13" w:rsidP="004A3A13">
      <w:pPr>
        <w:jc w:val="both"/>
        <w:rPr>
          <w:rFonts w:ascii="Arial" w:hAnsi="Arial" w:cs="Arial"/>
          <w:kern w:val="24"/>
          <w:sz w:val="22"/>
          <w:szCs w:val="22"/>
          <w:lang w:eastAsia="es-MX"/>
        </w:rPr>
      </w:pPr>
    </w:p>
    <w:p w:rsidR="00752D76" w:rsidRPr="00CB2DCF" w:rsidRDefault="00752D76" w:rsidP="00CB2DCF">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Sesiones de la CIBIOGEM y sus Órganos Técnicos y Consultivos</w:t>
      </w:r>
    </w:p>
    <w:p w:rsidR="00CB2DCF" w:rsidRPr="00CB2DCF" w:rsidRDefault="00CB2DCF" w:rsidP="00CB2DCF">
      <w:pPr>
        <w:autoSpaceDE w:val="0"/>
        <w:autoSpaceDN w:val="0"/>
        <w:adjustRightInd w:val="0"/>
        <w:jc w:val="both"/>
        <w:rPr>
          <w:rFonts w:ascii="Arial" w:hAnsi="Arial" w:cs="Arial"/>
          <w:b/>
          <w:bCs/>
          <w:sz w:val="22"/>
          <w:szCs w:val="22"/>
          <w:lang w:eastAsia="es-MX"/>
        </w:rPr>
      </w:pPr>
    </w:p>
    <w:p w:rsidR="00752D76" w:rsidRDefault="00752D76" w:rsidP="00102481">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Actividades de la CIBIOGEM</w:t>
      </w:r>
    </w:p>
    <w:p w:rsidR="00CB2DCF" w:rsidRPr="00CB2DCF" w:rsidRDefault="00CB2DCF" w:rsidP="00102481">
      <w:pPr>
        <w:autoSpaceDE w:val="0"/>
        <w:autoSpaceDN w:val="0"/>
        <w:adjustRightInd w:val="0"/>
        <w:jc w:val="both"/>
        <w:rPr>
          <w:rFonts w:ascii="Arial" w:hAnsi="Arial" w:cs="Arial"/>
          <w:b/>
          <w:bCs/>
          <w:sz w:val="22"/>
          <w:szCs w:val="22"/>
          <w:lang w:eastAsia="es-MX"/>
        </w:rPr>
      </w:pPr>
    </w:p>
    <w:p w:rsidR="005F094E" w:rsidRDefault="00752D76" w:rsidP="00102481">
      <w:pPr>
        <w:autoSpaceDE w:val="0"/>
        <w:autoSpaceDN w:val="0"/>
        <w:adjustRightInd w:val="0"/>
        <w:jc w:val="both"/>
        <w:rPr>
          <w:rFonts w:ascii="Arial" w:hAnsi="Arial" w:cs="Arial"/>
          <w:sz w:val="22"/>
          <w:szCs w:val="22"/>
          <w:lang w:eastAsia="es-MX"/>
        </w:rPr>
      </w:pPr>
      <w:r w:rsidRPr="00CB2DCF">
        <w:rPr>
          <w:rFonts w:ascii="Arial" w:hAnsi="Arial" w:cs="Arial"/>
          <w:sz w:val="22"/>
          <w:szCs w:val="22"/>
          <w:lang w:eastAsia="es-MX"/>
        </w:rPr>
        <w:t>En el año 2013 inició el periodo de Presidencia de la CIBIOGEM, por parte de</w:t>
      </w:r>
      <w:r w:rsidR="002B6931">
        <w:rPr>
          <w:rFonts w:ascii="Arial" w:hAnsi="Arial" w:cs="Arial"/>
          <w:sz w:val="22"/>
          <w:szCs w:val="22"/>
          <w:lang w:eastAsia="es-MX"/>
        </w:rPr>
        <w:t xml:space="preserve"> la</w:t>
      </w:r>
      <w:r w:rsidR="00102481">
        <w:rPr>
          <w:rFonts w:ascii="Arial" w:hAnsi="Arial" w:cs="Arial"/>
          <w:sz w:val="22"/>
          <w:szCs w:val="22"/>
          <w:lang w:eastAsia="es-MX"/>
        </w:rPr>
        <w:t xml:space="preserve"> </w:t>
      </w:r>
      <w:r w:rsidRPr="00CB2DCF">
        <w:rPr>
          <w:rFonts w:ascii="Arial" w:hAnsi="Arial" w:cs="Arial"/>
          <w:sz w:val="22"/>
          <w:szCs w:val="22"/>
          <w:lang w:eastAsia="es-MX"/>
        </w:rPr>
        <w:t>Titular de la Secretaría de Salud</w:t>
      </w:r>
      <w:r w:rsidR="00626238">
        <w:rPr>
          <w:rFonts w:ascii="Arial" w:hAnsi="Arial" w:cs="Arial"/>
          <w:sz w:val="22"/>
          <w:szCs w:val="22"/>
          <w:lang w:eastAsia="es-MX"/>
        </w:rPr>
        <w:t>, con una duración de dos años</w:t>
      </w:r>
      <w:r w:rsidRPr="00CB2DCF">
        <w:rPr>
          <w:rFonts w:ascii="Arial" w:hAnsi="Arial" w:cs="Arial"/>
          <w:sz w:val="22"/>
          <w:szCs w:val="22"/>
          <w:lang w:eastAsia="es-MX"/>
        </w:rPr>
        <w:t xml:space="preserve">. El Presidente de la CIBIOGEM, por conducto del Secretario Ejecutivo, convocó a </w:t>
      </w:r>
      <w:r w:rsidR="00626238">
        <w:rPr>
          <w:rFonts w:ascii="Arial" w:hAnsi="Arial" w:cs="Arial"/>
          <w:sz w:val="22"/>
          <w:szCs w:val="22"/>
          <w:lang w:eastAsia="es-MX"/>
        </w:rPr>
        <w:t>dos Sesiones Ordinarias de la CIBIOGEM durante el 2014. La</w:t>
      </w:r>
      <w:r w:rsidRPr="00CB2DCF">
        <w:rPr>
          <w:rFonts w:ascii="Arial" w:hAnsi="Arial" w:cs="Arial"/>
          <w:sz w:val="22"/>
          <w:szCs w:val="22"/>
          <w:lang w:eastAsia="es-MX"/>
        </w:rPr>
        <w:t xml:space="preserve"> Primera</w:t>
      </w:r>
      <w:r w:rsidR="003230A5">
        <w:rPr>
          <w:rFonts w:ascii="Arial" w:hAnsi="Arial" w:cs="Arial"/>
          <w:sz w:val="22"/>
          <w:szCs w:val="22"/>
          <w:lang w:eastAsia="es-MX"/>
        </w:rPr>
        <w:t xml:space="preserve"> Sesión O</w:t>
      </w:r>
      <w:r w:rsidRPr="00CB2DCF">
        <w:rPr>
          <w:rFonts w:ascii="Arial" w:hAnsi="Arial" w:cs="Arial"/>
          <w:sz w:val="22"/>
          <w:szCs w:val="22"/>
          <w:lang w:eastAsia="es-MX"/>
        </w:rPr>
        <w:t>rdinaria el 2</w:t>
      </w:r>
      <w:r w:rsidR="00626238">
        <w:rPr>
          <w:rFonts w:ascii="Arial" w:hAnsi="Arial" w:cs="Arial"/>
          <w:sz w:val="22"/>
          <w:szCs w:val="22"/>
          <w:lang w:eastAsia="es-MX"/>
        </w:rPr>
        <w:t>9</w:t>
      </w:r>
      <w:r w:rsidRPr="00CB2DCF">
        <w:rPr>
          <w:rFonts w:ascii="Arial" w:hAnsi="Arial" w:cs="Arial"/>
          <w:sz w:val="22"/>
          <w:szCs w:val="22"/>
          <w:lang w:eastAsia="es-MX"/>
        </w:rPr>
        <w:t xml:space="preserve"> de </w:t>
      </w:r>
      <w:r w:rsidR="00626238">
        <w:rPr>
          <w:rFonts w:ascii="Arial" w:hAnsi="Arial" w:cs="Arial"/>
          <w:sz w:val="22"/>
          <w:szCs w:val="22"/>
          <w:lang w:eastAsia="es-MX"/>
        </w:rPr>
        <w:t>abril</w:t>
      </w:r>
      <w:r w:rsidRPr="00CB2DCF">
        <w:rPr>
          <w:rFonts w:ascii="Arial" w:hAnsi="Arial" w:cs="Arial"/>
          <w:sz w:val="22"/>
          <w:szCs w:val="22"/>
          <w:lang w:eastAsia="es-MX"/>
        </w:rPr>
        <w:t xml:space="preserve">. La </w:t>
      </w:r>
      <w:r w:rsidR="003230A5">
        <w:rPr>
          <w:rFonts w:ascii="Arial" w:hAnsi="Arial" w:cs="Arial"/>
          <w:sz w:val="22"/>
          <w:szCs w:val="22"/>
          <w:lang w:eastAsia="es-MX"/>
        </w:rPr>
        <w:t>S</w:t>
      </w:r>
      <w:r w:rsidRPr="00CB2DCF">
        <w:rPr>
          <w:rFonts w:ascii="Arial" w:hAnsi="Arial" w:cs="Arial"/>
          <w:sz w:val="22"/>
          <w:szCs w:val="22"/>
          <w:lang w:eastAsia="es-MX"/>
        </w:rPr>
        <w:t xml:space="preserve">egunda </w:t>
      </w:r>
      <w:r w:rsidR="003230A5">
        <w:rPr>
          <w:rFonts w:ascii="Arial" w:hAnsi="Arial" w:cs="Arial"/>
          <w:sz w:val="22"/>
          <w:szCs w:val="22"/>
          <w:lang w:eastAsia="es-MX"/>
        </w:rPr>
        <w:t xml:space="preserve">Sesión Ordinaria </w:t>
      </w:r>
      <w:r w:rsidR="002B6931">
        <w:rPr>
          <w:rFonts w:ascii="Arial" w:hAnsi="Arial" w:cs="Arial"/>
          <w:sz w:val="22"/>
          <w:szCs w:val="22"/>
          <w:lang w:eastAsia="es-MX"/>
        </w:rPr>
        <w:t>tuvo</w:t>
      </w:r>
      <w:r w:rsidR="002B6931" w:rsidRPr="00CB2DCF">
        <w:rPr>
          <w:rFonts w:ascii="Arial" w:hAnsi="Arial" w:cs="Arial"/>
          <w:sz w:val="22"/>
          <w:szCs w:val="22"/>
          <w:lang w:eastAsia="es-MX"/>
        </w:rPr>
        <w:t xml:space="preserve"> </w:t>
      </w:r>
      <w:r w:rsidRPr="00CB2DCF">
        <w:rPr>
          <w:rFonts w:ascii="Arial" w:hAnsi="Arial" w:cs="Arial"/>
          <w:sz w:val="22"/>
          <w:szCs w:val="22"/>
          <w:lang w:eastAsia="es-MX"/>
        </w:rPr>
        <w:t>lugar el 1</w:t>
      </w:r>
      <w:r w:rsidR="00626238">
        <w:rPr>
          <w:rFonts w:ascii="Arial" w:hAnsi="Arial" w:cs="Arial"/>
          <w:sz w:val="22"/>
          <w:szCs w:val="22"/>
          <w:lang w:eastAsia="es-MX"/>
        </w:rPr>
        <w:t>5</w:t>
      </w:r>
      <w:r w:rsidRPr="00CB2DCF">
        <w:rPr>
          <w:rFonts w:ascii="Arial" w:hAnsi="Arial" w:cs="Arial"/>
          <w:sz w:val="22"/>
          <w:szCs w:val="22"/>
          <w:lang w:eastAsia="es-MX"/>
        </w:rPr>
        <w:t xml:space="preserve"> de diciembre. </w:t>
      </w:r>
    </w:p>
    <w:p w:rsidR="0077170F" w:rsidRPr="00CB2DCF" w:rsidRDefault="0077170F" w:rsidP="00102481">
      <w:pPr>
        <w:autoSpaceDE w:val="0"/>
        <w:autoSpaceDN w:val="0"/>
        <w:adjustRightInd w:val="0"/>
        <w:jc w:val="both"/>
        <w:rPr>
          <w:rFonts w:ascii="Arial" w:hAnsi="Arial" w:cs="Arial"/>
          <w:sz w:val="22"/>
          <w:szCs w:val="22"/>
          <w:lang w:eastAsia="es-MX"/>
        </w:rPr>
      </w:pPr>
    </w:p>
    <w:p w:rsidR="00905BA9" w:rsidRDefault="00905BA9" w:rsidP="00102481">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Actividades del Comité Técnico</w:t>
      </w:r>
    </w:p>
    <w:p w:rsidR="00CB2DCF" w:rsidRPr="00CB2DCF" w:rsidRDefault="00CB2DCF" w:rsidP="00102481">
      <w:pPr>
        <w:autoSpaceDE w:val="0"/>
        <w:autoSpaceDN w:val="0"/>
        <w:adjustRightInd w:val="0"/>
        <w:jc w:val="both"/>
        <w:rPr>
          <w:rFonts w:ascii="Arial" w:hAnsi="Arial" w:cs="Arial"/>
          <w:b/>
          <w:bCs/>
          <w:sz w:val="22"/>
          <w:szCs w:val="22"/>
          <w:lang w:eastAsia="es-MX"/>
        </w:rPr>
      </w:pPr>
    </w:p>
    <w:p w:rsidR="0077170F" w:rsidRPr="0077170F" w:rsidRDefault="00905BA9" w:rsidP="0077170F">
      <w:pPr>
        <w:jc w:val="both"/>
        <w:rPr>
          <w:rFonts w:ascii="Arial" w:hAnsi="Arial" w:cs="Arial"/>
          <w:sz w:val="22"/>
          <w:szCs w:val="22"/>
          <w:lang w:eastAsia="es-MX"/>
        </w:rPr>
      </w:pPr>
      <w:r w:rsidRPr="00CB2DCF">
        <w:rPr>
          <w:rFonts w:ascii="Arial" w:hAnsi="Arial" w:cs="Arial"/>
          <w:sz w:val="22"/>
          <w:szCs w:val="22"/>
          <w:lang w:eastAsia="es-MX"/>
        </w:rPr>
        <w:t xml:space="preserve">La Secretaría Ejecutiva organizó, convocó y presidió </w:t>
      </w:r>
      <w:r w:rsidR="00626238">
        <w:rPr>
          <w:rFonts w:ascii="Arial" w:hAnsi="Arial" w:cs="Arial"/>
          <w:sz w:val="22"/>
          <w:szCs w:val="22"/>
          <w:lang w:eastAsia="es-MX"/>
        </w:rPr>
        <w:t>tres</w:t>
      </w:r>
      <w:r w:rsidRPr="00CB2DCF">
        <w:rPr>
          <w:rFonts w:ascii="Arial" w:hAnsi="Arial" w:cs="Arial"/>
          <w:sz w:val="22"/>
          <w:szCs w:val="22"/>
          <w:lang w:eastAsia="es-MX"/>
        </w:rPr>
        <w:t xml:space="preserve"> Sesiones Ordinarias del</w:t>
      </w:r>
      <w:r w:rsidR="0050218E" w:rsidRPr="00CB2DCF">
        <w:rPr>
          <w:rFonts w:ascii="Arial" w:hAnsi="Arial" w:cs="Arial"/>
          <w:sz w:val="22"/>
          <w:szCs w:val="22"/>
          <w:lang w:eastAsia="es-MX"/>
        </w:rPr>
        <w:t xml:space="preserve"> </w:t>
      </w:r>
      <w:r w:rsidRPr="00CB2DCF">
        <w:rPr>
          <w:rFonts w:ascii="Arial" w:hAnsi="Arial" w:cs="Arial"/>
          <w:sz w:val="22"/>
          <w:szCs w:val="22"/>
          <w:lang w:eastAsia="es-MX"/>
        </w:rPr>
        <w:t xml:space="preserve">Comité Técnico los días </w:t>
      </w:r>
      <w:r w:rsidR="00626238">
        <w:rPr>
          <w:rFonts w:ascii="Arial" w:hAnsi="Arial" w:cs="Arial"/>
          <w:sz w:val="22"/>
          <w:szCs w:val="22"/>
          <w:lang w:eastAsia="es-MX"/>
        </w:rPr>
        <w:t>27</w:t>
      </w:r>
      <w:r w:rsidRPr="00CB2DCF">
        <w:rPr>
          <w:rFonts w:ascii="Arial" w:hAnsi="Arial" w:cs="Arial"/>
          <w:sz w:val="22"/>
          <w:szCs w:val="22"/>
          <w:lang w:eastAsia="es-MX"/>
        </w:rPr>
        <w:t xml:space="preserve"> de </w:t>
      </w:r>
      <w:r w:rsidR="00626238">
        <w:rPr>
          <w:rFonts w:ascii="Arial" w:hAnsi="Arial" w:cs="Arial"/>
          <w:sz w:val="22"/>
          <w:szCs w:val="22"/>
          <w:lang w:eastAsia="es-MX"/>
        </w:rPr>
        <w:t>marzo</w:t>
      </w:r>
      <w:r w:rsidRPr="00CB2DCF">
        <w:rPr>
          <w:rFonts w:ascii="Arial" w:hAnsi="Arial" w:cs="Arial"/>
          <w:sz w:val="22"/>
          <w:szCs w:val="22"/>
          <w:lang w:eastAsia="es-MX"/>
        </w:rPr>
        <w:t xml:space="preserve">, </w:t>
      </w:r>
      <w:r w:rsidR="0050218E" w:rsidRPr="00CB2DCF">
        <w:rPr>
          <w:rFonts w:ascii="Arial" w:hAnsi="Arial" w:cs="Arial"/>
          <w:sz w:val="22"/>
          <w:szCs w:val="22"/>
          <w:lang w:eastAsia="es-MX"/>
        </w:rPr>
        <w:t>30</w:t>
      </w:r>
      <w:r w:rsidRPr="00CB2DCF">
        <w:rPr>
          <w:rFonts w:ascii="Arial" w:hAnsi="Arial" w:cs="Arial"/>
          <w:sz w:val="22"/>
          <w:szCs w:val="22"/>
          <w:lang w:eastAsia="es-MX"/>
        </w:rPr>
        <w:t xml:space="preserve"> de mayo, </w:t>
      </w:r>
      <w:r w:rsidR="00626238">
        <w:rPr>
          <w:rFonts w:ascii="Arial" w:hAnsi="Arial" w:cs="Arial"/>
          <w:sz w:val="22"/>
          <w:szCs w:val="22"/>
          <w:lang w:eastAsia="es-MX"/>
        </w:rPr>
        <w:t>19 de junio</w:t>
      </w:r>
      <w:r w:rsidRPr="00CB2DCF">
        <w:rPr>
          <w:rFonts w:ascii="Arial" w:hAnsi="Arial" w:cs="Arial"/>
          <w:sz w:val="22"/>
          <w:szCs w:val="22"/>
          <w:lang w:eastAsia="es-MX"/>
        </w:rPr>
        <w:t xml:space="preserve"> y </w:t>
      </w:r>
      <w:r w:rsidR="00626238">
        <w:rPr>
          <w:rFonts w:ascii="Arial" w:hAnsi="Arial" w:cs="Arial"/>
          <w:sz w:val="22"/>
          <w:szCs w:val="22"/>
          <w:lang w:eastAsia="es-MX"/>
        </w:rPr>
        <w:t>30</w:t>
      </w:r>
      <w:r w:rsidRPr="00CB2DCF">
        <w:rPr>
          <w:rFonts w:ascii="Arial" w:hAnsi="Arial" w:cs="Arial"/>
          <w:sz w:val="22"/>
          <w:szCs w:val="22"/>
          <w:lang w:eastAsia="es-MX"/>
        </w:rPr>
        <w:t xml:space="preserve"> de</w:t>
      </w:r>
      <w:r w:rsidR="00102481">
        <w:rPr>
          <w:rFonts w:ascii="Arial" w:hAnsi="Arial" w:cs="Arial"/>
          <w:sz w:val="22"/>
          <w:szCs w:val="22"/>
          <w:lang w:eastAsia="es-MX"/>
        </w:rPr>
        <w:t xml:space="preserve"> </w:t>
      </w:r>
      <w:r w:rsidR="00626238">
        <w:rPr>
          <w:rFonts w:ascii="Arial" w:hAnsi="Arial" w:cs="Arial"/>
          <w:sz w:val="22"/>
          <w:szCs w:val="22"/>
          <w:lang w:eastAsia="es-MX"/>
        </w:rPr>
        <w:t>octubre</w:t>
      </w:r>
      <w:r w:rsidRPr="00CB2DCF">
        <w:rPr>
          <w:rFonts w:ascii="Arial" w:hAnsi="Arial" w:cs="Arial"/>
          <w:sz w:val="22"/>
          <w:szCs w:val="22"/>
          <w:lang w:eastAsia="es-MX"/>
        </w:rPr>
        <w:t>. Los asuntos tratados en la CIBIOGEM, son</w:t>
      </w:r>
      <w:r w:rsidR="0050218E" w:rsidRPr="00CB2DCF">
        <w:rPr>
          <w:rFonts w:ascii="Arial" w:hAnsi="Arial" w:cs="Arial"/>
          <w:sz w:val="22"/>
          <w:szCs w:val="22"/>
          <w:lang w:eastAsia="es-MX"/>
        </w:rPr>
        <w:t xml:space="preserve"> </w:t>
      </w:r>
      <w:r w:rsidRPr="00CB2DCF">
        <w:rPr>
          <w:rFonts w:ascii="Arial" w:hAnsi="Arial" w:cs="Arial"/>
          <w:sz w:val="22"/>
          <w:szCs w:val="22"/>
          <w:lang w:eastAsia="es-MX"/>
        </w:rPr>
        <w:t>previamente analizados por este Órgano Colegiado</w:t>
      </w:r>
      <w:r w:rsidR="00102481">
        <w:rPr>
          <w:rFonts w:ascii="Arial" w:hAnsi="Arial" w:cs="Arial"/>
          <w:sz w:val="22"/>
          <w:szCs w:val="22"/>
          <w:lang w:eastAsia="es-MX"/>
        </w:rPr>
        <w:t xml:space="preserve">. </w:t>
      </w:r>
      <w:r w:rsidRPr="00CB2DCF">
        <w:rPr>
          <w:rFonts w:ascii="Arial" w:hAnsi="Arial" w:cs="Arial"/>
          <w:sz w:val="22"/>
          <w:szCs w:val="22"/>
          <w:lang w:eastAsia="es-MX"/>
        </w:rPr>
        <w:t xml:space="preserve">El </w:t>
      </w:r>
      <w:r w:rsidRPr="00CB2DCF">
        <w:rPr>
          <w:rFonts w:ascii="Arial" w:hAnsi="Arial" w:cs="Arial"/>
          <w:sz w:val="22"/>
          <w:szCs w:val="22"/>
          <w:lang w:eastAsia="es-MX"/>
        </w:rPr>
        <w:lastRenderedPageBreak/>
        <w:t xml:space="preserve">Comité Técnico, entre otros temas, </w:t>
      </w:r>
      <w:r w:rsidR="0050218E" w:rsidRPr="00CB2DCF">
        <w:rPr>
          <w:rFonts w:ascii="Arial" w:hAnsi="Arial" w:cs="Arial"/>
          <w:sz w:val="22"/>
          <w:szCs w:val="22"/>
          <w:lang w:eastAsia="es-MX"/>
        </w:rPr>
        <w:t>revis</w:t>
      </w:r>
      <w:r w:rsidR="002B6931">
        <w:rPr>
          <w:rFonts w:ascii="Arial" w:hAnsi="Arial" w:cs="Arial"/>
          <w:sz w:val="22"/>
          <w:szCs w:val="22"/>
          <w:lang w:eastAsia="es-MX"/>
        </w:rPr>
        <w:t>ó</w:t>
      </w:r>
      <w:r w:rsidR="0050218E" w:rsidRPr="00CB2DCF">
        <w:rPr>
          <w:rFonts w:ascii="Arial" w:hAnsi="Arial" w:cs="Arial"/>
          <w:sz w:val="22"/>
          <w:szCs w:val="22"/>
          <w:lang w:eastAsia="es-MX"/>
        </w:rPr>
        <w:t xml:space="preserve"> </w:t>
      </w:r>
      <w:r w:rsidR="00626238">
        <w:rPr>
          <w:rFonts w:ascii="Arial" w:hAnsi="Arial" w:cs="Arial"/>
          <w:sz w:val="22"/>
          <w:szCs w:val="22"/>
          <w:lang w:eastAsia="es-MX"/>
        </w:rPr>
        <w:t xml:space="preserve">las actividades de los grupos de trabajo, </w:t>
      </w:r>
      <w:r w:rsidR="0077170F">
        <w:rPr>
          <w:rFonts w:ascii="Arial" w:hAnsi="Arial" w:cs="Arial"/>
          <w:sz w:val="22"/>
          <w:szCs w:val="22"/>
          <w:lang w:eastAsia="es-MX"/>
        </w:rPr>
        <w:t xml:space="preserve">en particular los realizados por </w:t>
      </w:r>
      <w:r w:rsidR="0077170F" w:rsidRPr="0077170F">
        <w:rPr>
          <w:rFonts w:ascii="Arial" w:hAnsi="Arial" w:cs="Arial"/>
          <w:sz w:val="22"/>
          <w:szCs w:val="22"/>
          <w:lang w:eastAsia="es-MX"/>
        </w:rPr>
        <w:t xml:space="preserve">el Grupo de Trabajos Preparatorios para la Séptima Reunión de la Conferencia de las Partes del Convenio sobre Diversidad Biológica que actúa como reunión de las Partes del Protocolo de Cartagena sobre Seguridad de la Biotecnología (GT COP-MOP/7). </w:t>
      </w:r>
    </w:p>
    <w:p w:rsidR="00296302" w:rsidRDefault="00296302" w:rsidP="00296302">
      <w:pPr>
        <w:autoSpaceDE w:val="0"/>
        <w:autoSpaceDN w:val="0"/>
        <w:adjustRightInd w:val="0"/>
        <w:rPr>
          <w:rFonts w:ascii="Arial" w:hAnsi="Arial" w:cs="Arial"/>
          <w:b/>
          <w:bCs/>
          <w:sz w:val="22"/>
          <w:szCs w:val="22"/>
          <w:lang w:eastAsia="es-MX"/>
        </w:rPr>
      </w:pPr>
    </w:p>
    <w:p w:rsidR="00296302" w:rsidRDefault="00296302" w:rsidP="00296302">
      <w:pPr>
        <w:autoSpaceDE w:val="0"/>
        <w:autoSpaceDN w:val="0"/>
        <w:adjustRightInd w:val="0"/>
        <w:rPr>
          <w:rFonts w:ascii="Arial" w:hAnsi="Arial" w:cs="Arial"/>
          <w:b/>
          <w:bCs/>
          <w:sz w:val="22"/>
          <w:szCs w:val="22"/>
          <w:lang w:eastAsia="es-MX"/>
        </w:rPr>
      </w:pPr>
      <w:r w:rsidRPr="00CB2DCF">
        <w:rPr>
          <w:rFonts w:ascii="Arial" w:hAnsi="Arial" w:cs="Arial"/>
          <w:b/>
          <w:bCs/>
          <w:sz w:val="22"/>
          <w:szCs w:val="22"/>
          <w:lang w:eastAsia="es-MX"/>
        </w:rPr>
        <w:t>Actividades del Consejo Consultivo Científico</w:t>
      </w:r>
    </w:p>
    <w:p w:rsidR="00296302" w:rsidRPr="00CB2DCF" w:rsidRDefault="00296302" w:rsidP="00296302">
      <w:pPr>
        <w:autoSpaceDE w:val="0"/>
        <w:autoSpaceDN w:val="0"/>
        <w:adjustRightInd w:val="0"/>
        <w:rPr>
          <w:rFonts w:ascii="Arial" w:hAnsi="Arial" w:cs="Arial"/>
          <w:b/>
          <w:bCs/>
          <w:sz w:val="22"/>
          <w:szCs w:val="22"/>
          <w:lang w:eastAsia="es-MX"/>
        </w:rPr>
      </w:pPr>
    </w:p>
    <w:p w:rsidR="00D55536" w:rsidRDefault="00296302" w:rsidP="00D55536">
      <w:pPr>
        <w:jc w:val="both"/>
        <w:rPr>
          <w:rFonts w:ascii="Arial" w:hAnsi="Arial" w:cs="Arial"/>
          <w:bCs/>
          <w:sz w:val="22"/>
          <w:szCs w:val="22"/>
        </w:rPr>
      </w:pPr>
      <w:r w:rsidRPr="00D55536">
        <w:rPr>
          <w:rFonts w:ascii="Arial" w:hAnsi="Arial" w:cs="Arial"/>
          <w:bCs/>
          <w:sz w:val="22"/>
          <w:szCs w:val="22"/>
        </w:rPr>
        <w:t xml:space="preserve">Durante el presente año el Consejo Consultivo Científico </w:t>
      </w:r>
      <w:r w:rsidR="00D55536">
        <w:rPr>
          <w:rFonts w:ascii="Arial" w:hAnsi="Arial" w:cs="Arial"/>
          <w:bCs/>
          <w:sz w:val="22"/>
          <w:szCs w:val="22"/>
        </w:rPr>
        <w:t>realizó</w:t>
      </w:r>
      <w:r w:rsidRPr="00D55536">
        <w:rPr>
          <w:rFonts w:ascii="Arial" w:hAnsi="Arial" w:cs="Arial"/>
          <w:bCs/>
          <w:sz w:val="22"/>
          <w:szCs w:val="22"/>
        </w:rPr>
        <w:t xml:space="preserve"> cuatro Sesiones Ordinarias, el 31 de enero, 4 de abril, 22 de agosto y 14 de noviembre. Además de dos Sesiones Extraordinarias el 30 de junio y 10 de octubre. Durante la Segunda Sesión Extraordinaria el consejo dio seguimiento a la elaboración de los Términos de Referencia para las nuevas demandas</w:t>
      </w:r>
      <w:r w:rsidR="00D55536">
        <w:rPr>
          <w:rFonts w:ascii="Arial" w:hAnsi="Arial" w:cs="Arial"/>
          <w:bCs/>
          <w:sz w:val="22"/>
          <w:szCs w:val="22"/>
        </w:rPr>
        <w:t xml:space="preserve"> de los proyectos financiados por el Fondo CIBIOGEM</w:t>
      </w:r>
      <w:r w:rsidRPr="00D55536">
        <w:rPr>
          <w:rFonts w:ascii="Arial" w:hAnsi="Arial" w:cs="Arial"/>
          <w:bCs/>
          <w:sz w:val="22"/>
          <w:szCs w:val="22"/>
        </w:rPr>
        <w:t>. Los miembros del Consejo</w:t>
      </w:r>
      <w:r w:rsidR="00D55536">
        <w:rPr>
          <w:rFonts w:ascii="Arial" w:hAnsi="Arial" w:cs="Arial"/>
          <w:bCs/>
          <w:sz w:val="22"/>
          <w:szCs w:val="22"/>
        </w:rPr>
        <w:t xml:space="preserve"> también </w:t>
      </w:r>
      <w:r w:rsidRPr="00D55536">
        <w:rPr>
          <w:rFonts w:ascii="Arial" w:hAnsi="Arial" w:cs="Arial"/>
          <w:bCs/>
          <w:sz w:val="22"/>
          <w:szCs w:val="22"/>
        </w:rPr>
        <w:t>determinaron al coordinador de las Instancias de Evaluación de los proyectos.</w:t>
      </w:r>
      <w:r w:rsidR="00D55536">
        <w:rPr>
          <w:rFonts w:ascii="Arial" w:hAnsi="Arial" w:cs="Arial"/>
          <w:bCs/>
          <w:sz w:val="22"/>
          <w:szCs w:val="22"/>
        </w:rPr>
        <w:t xml:space="preserve"> </w:t>
      </w:r>
      <w:r w:rsidR="00D55536" w:rsidRPr="00CB2DCF">
        <w:rPr>
          <w:rFonts w:ascii="Arial" w:hAnsi="Arial" w:cs="Arial"/>
          <w:sz w:val="22"/>
          <w:szCs w:val="22"/>
        </w:rPr>
        <w:t xml:space="preserve">De conformidad a lo dispuesto por el Artículo 12 del Reglamento, 50, 52 y 55 de las Reglas de Operación de la CIBIOGEM, se realizó la convocatoria para renovar a los integrantes del Consejo en las disciplinas de </w:t>
      </w:r>
      <w:r w:rsidR="00D55536" w:rsidRPr="00D55536">
        <w:rPr>
          <w:rFonts w:ascii="Arial" w:hAnsi="Arial" w:cs="Arial"/>
          <w:bCs/>
          <w:sz w:val="22"/>
          <w:szCs w:val="22"/>
        </w:rPr>
        <w:t>Ecología</w:t>
      </w:r>
      <w:r w:rsidR="00D55536">
        <w:rPr>
          <w:rFonts w:ascii="Arial" w:hAnsi="Arial" w:cs="Arial"/>
          <w:bCs/>
          <w:sz w:val="22"/>
          <w:szCs w:val="22"/>
        </w:rPr>
        <w:t xml:space="preserve">, Salud Humana y Sanidad Animal. </w:t>
      </w:r>
      <w:r w:rsidR="00D55536" w:rsidRPr="00D55536">
        <w:rPr>
          <w:rFonts w:ascii="Arial" w:hAnsi="Arial" w:cs="Arial"/>
          <w:bCs/>
          <w:sz w:val="22"/>
          <w:szCs w:val="22"/>
        </w:rPr>
        <w:t xml:space="preserve">Los nuevos consejeros se </w:t>
      </w:r>
      <w:r w:rsidR="00D55536">
        <w:rPr>
          <w:rFonts w:ascii="Arial" w:hAnsi="Arial" w:cs="Arial"/>
          <w:bCs/>
          <w:sz w:val="22"/>
          <w:szCs w:val="22"/>
        </w:rPr>
        <w:t>integraron</w:t>
      </w:r>
      <w:r w:rsidR="00D55536" w:rsidRPr="00D55536">
        <w:rPr>
          <w:rFonts w:ascii="Arial" w:hAnsi="Arial" w:cs="Arial"/>
          <w:bCs/>
          <w:sz w:val="22"/>
          <w:szCs w:val="22"/>
        </w:rPr>
        <w:t xml:space="preserve"> durante la Cuarta Sesión Ordinaria del Consejo. </w:t>
      </w:r>
    </w:p>
    <w:p w:rsidR="00E167CF" w:rsidRPr="00CB2DCF" w:rsidRDefault="00E167CF" w:rsidP="00905BA9">
      <w:pPr>
        <w:jc w:val="both"/>
        <w:rPr>
          <w:rFonts w:ascii="Arial" w:hAnsi="Arial" w:cs="Arial"/>
          <w:bCs/>
          <w:sz w:val="22"/>
          <w:szCs w:val="22"/>
        </w:rPr>
      </w:pPr>
    </w:p>
    <w:p w:rsidR="0050218E" w:rsidRDefault="0050218E" w:rsidP="00CB2DCF">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 xml:space="preserve">Actividades del Consejo Consultivo </w:t>
      </w:r>
      <w:r w:rsidR="008E1F88" w:rsidRPr="00CB2DCF">
        <w:rPr>
          <w:rFonts w:ascii="Arial" w:hAnsi="Arial" w:cs="Arial"/>
          <w:b/>
          <w:bCs/>
          <w:sz w:val="22"/>
          <w:szCs w:val="22"/>
          <w:lang w:eastAsia="es-MX"/>
        </w:rPr>
        <w:t>Mixto</w:t>
      </w:r>
    </w:p>
    <w:p w:rsidR="00CB2DCF" w:rsidRPr="00CB2DCF" w:rsidRDefault="00CB2DCF" w:rsidP="00CB2DCF">
      <w:pPr>
        <w:autoSpaceDE w:val="0"/>
        <w:autoSpaceDN w:val="0"/>
        <w:adjustRightInd w:val="0"/>
        <w:jc w:val="both"/>
        <w:rPr>
          <w:rFonts w:ascii="Arial" w:hAnsi="Arial" w:cs="Arial"/>
          <w:b/>
          <w:bCs/>
          <w:sz w:val="22"/>
          <w:szCs w:val="22"/>
          <w:lang w:eastAsia="es-MX"/>
        </w:rPr>
      </w:pPr>
    </w:p>
    <w:p w:rsidR="00D55536" w:rsidRPr="00D55536" w:rsidRDefault="008E1F88" w:rsidP="00D55536">
      <w:pPr>
        <w:jc w:val="both"/>
        <w:rPr>
          <w:rFonts w:ascii="Arial" w:hAnsi="Arial" w:cs="Arial"/>
          <w:bCs/>
          <w:sz w:val="22"/>
          <w:szCs w:val="22"/>
        </w:rPr>
      </w:pPr>
      <w:r w:rsidRPr="00CB2DCF">
        <w:rPr>
          <w:rFonts w:ascii="Arial" w:hAnsi="Arial" w:cs="Arial"/>
          <w:bCs/>
          <w:sz w:val="22"/>
          <w:szCs w:val="22"/>
        </w:rPr>
        <w:t>El Consejo Consultivo Mixto</w:t>
      </w:r>
      <w:r w:rsidRPr="00CB2DCF">
        <w:rPr>
          <w:rFonts w:ascii="Arial" w:hAnsi="Arial" w:cs="Arial"/>
          <w:sz w:val="22"/>
          <w:szCs w:val="22"/>
        </w:rPr>
        <w:t xml:space="preserve"> realizó </w:t>
      </w:r>
      <w:r w:rsidR="00D55536" w:rsidRPr="00D55536">
        <w:rPr>
          <w:rFonts w:ascii="Arial" w:hAnsi="Arial" w:cs="Arial"/>
          <w:bCs/>
          <w:sz w:val="22"/>
          <w:szCs w:val="22"/>
        </w:rPr>
        <w:t>durante el 2014</w:t>
      </w:r>
      <w:r w:rsidR="00D55536">
        <w:rPr>
          <w:rFonts w:ascii="Arial" w:hAnsi="Arial" w:cs="Arial"/>
          <w:bCs/>
          <w:sz w:val="22"/>
          <w:szCs w:val="22"/>
        </w:rPr>
        <w:t xml:space="preserve">, tres Sesiones Ordinarias, el </w:t>
      </w:r>
      <w:r w:rsidR="00D55536" w:rsidRPr="00D55536">
        <w:rPr>
          <w:rFonts w:ascii="Arial" w:hAnsi="Arial" w:cs="Arial"/>
          <w:bCs/>
          <w:sz w:val="22"/>
          <w:szCs w:val="22"/>
        </w:rPr>
        <w:t>13 de fe</w:t>
      </w:r>
      <w:r w:rsidR="00D55536">
        <w:rPr>
          <w:rFonts w:ascii="Arial" w:hAnsi="Arial" w:cs="Arial"/>
          <w:bCs/>
          <w:sz w:val="22"/>
          <w:szCs w:val="22"/>
        </w:rPr>
        <w:t xml:space="preserve">brero, 8 de mayo, y 10 de julio. Además de </w:t>
      </w:r>
      <w:r w:rsidR="00D55536" w:rsidRPr="00D55536">
        <w:rPr>
          <w:rFonts w:ascii="Arial" w:hAnsi="Arial" w:cs="Arial"/>
          <w:bCs/>
          <w:sz w:val="22"/>
          <w:szCs w:val="22"/>
        </w:rPr>
        <w:t xml:space="preserve">dos Sesiones Extraordinarias </w:t>
      </w:r>
      <w:r w:rsidR="00D55536">
        <w:rPr>
          <w:rFonts w:ascii="Arial" w:hAnsi="Arial" w:cs="Arial"/>
          <w:bCs/>
          <w:sz w:val="22"/>
          <w:szCs w:val="22"/>
        </w:rPr>
        <w:t xml:space="preserve">el </w:t>
      </w:r>
      <w:r w:rsidR="00D55536" w:rsidRPr="00D55536">
        <w:rPr>
          <w:rFonts w:ascii="Arial" w:hAnsi="Arial" w:cs="Arial"/>
          <w:bCs/>
          <w:sz w:val="22"/>
          <w:szCs w:val="22"/>
        </w:rPr>
        <w:t>28 de mayo y 9 de junio. El CCM acordó continuar el desarrollo de los temas establecidos en su plan de trabajo por medio de los Coordinadores asignados a cada tema, y han recabado información útil para desarrollar una publicación que refleje las actividades que ha desarrollado el Consejo, desde la perspectiva de</w:t>
      </w:r>
      <w:r w:rsidR="00D55536">
        <w:rPr>
          <w:rFonts w:ascii="Arial" w:hAnsi="Arial" w:cs="Arial"/>
          <w:bCs/>
          <w:sz w:val="22"/>
          <w:szCs w:val="22"/>
        </w:rPr>
        <w:t xml:space="preserve"> los sectores representados en é</w:t>
      </w:r>
      <w:r w:rsidR="00D55536" w:rsidRPr="00D55536">
        <w:rPr>
          <w:rFonts w:ascii="Arial" w:hAnsi="Arial" w:cs="Arial"/>
          <w:bCs/>
          <w:sz w:val="22"/>
          <w:szCs w:val="22"/>
        </w:rPr>
        <w:t>l. Con fecha del 23 de junio de 2014 se publicó la Convocatoria 2014 para la renovación de los integrantes del CCM. Se contó con los resultados en octubre de 2014, y se declaró desierta un lugar del sector productivo, para el cual se abrirá una nueva convocatoria en enero 2015.</w:t>
      </w:r>
    </w:p>
    <w:p w:rsidR="00D55536" w:rsidRPr="003237AA" w:rsidRDefault="00D55536" w:rsidP="00D55536">
      <w:pPr>
        <w:pStyle w:val="Prrafodelista"/>
        <w:rPr>
          <w:rFonts w:eastAsia="Times New Roman" w:cs="Arial"/>
          <w:sz w:val="20"/>
          <w:szCs w:val="20"/>
          <w:lang w:eastAsia="es-ES"/>
        </w:rPr>
      </w:pPr>
    </w:p>
    <w:p w:rsidR="0050218E" w:rsidRPr="00CB2DCF" w:rsidRDefault="0050218E" w:rsidP="00CB2DCF">
      <w:pPr>
        <w:autoSpaceDE w:val="0"/>
        <w:autoSpaceDN w:val="0"/>
        <w:adjustRightInd w:val="0"/>
        <w:jc w:val="both"/>
        <w:rPr>
          <w:rFonts w:ascii="Arial" w:hAnsi="Arial" w:cs="Arial"/>
          <w:b/>
          <w:bCs/>
          <w:sz w:val="22"/>
          <w:szCs w:val="22"/>
          <w:lang w:eastAsia="es-MX"/>
        </w:rPr>
      </w:pPr>
    </w:p>
    <w:p w:rsidR="0050218E" w:rsidRDefault="0050218E" w:rsidP="00CB2DCF">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t>Actividades del Comité Técnico y de Administración del Fondo CIBIOGEM</w:t>
      </w:r>
    </w:p>
    <w:p w:rsidR="00CB2DCF" w:rsidRPr="00CB2DCF" w:rsidRDefault="00CB2DCF" w:rsidP="00DC1DB6">
      <w:pPr>
        <w:autoSpaceDE w:val="0"/>
        <w:autoSpaceDN w:val="0"/>
        <w:adjustRightInd w:val="0"/>
        <w:jc w:val="both"/>
        <w:rPr>
          <w:rFonts w:ascii="Arial" w:hAnsi="Arial" w:cs="Arial"/>
          <w:b/>
          <w:bCs/>
          <w:sz w:val="22"/>
          <w:szCs w:val="22"/>
          <w:lang w:eastAsia="es-MX"/>
        </w:rPr>
      </w:pPr>
    </w:p>
    <w:p w:rsidR="00DC1DB6" w:rsidRPr="00DC1DB6" w:rsidRDefault="0050218E" w:rsidP="00DC1DB6">
      <w:pPr>
        <w:jc w:val="both"/>
        <w:rPr>
          <w:rFonts w:ascii="Arial" w:hAnsi="Arial" w:cs="Arial"/>
          <w:sz w:val="22"/>
          <w:szCs w:val="22"/>
          <w:lang w:eastAsia="es-MX"/>
        </w:rPr>
      </w:pPr>
      <w:r w:rsidRPr="00DC1DB6">
        <w:rPr>
          <w:rFonts w:ascii="Arial" w:hAnsi="Arial" w:cs="Arial"/>
          <w:bCs/>
          <w:sz w:val="22"/>
          <w:szCs w:val="22"/>
        </w:rPr>
        <w:t xml:space="preserve">La Secretaría Ejecutiva, en colaboración con la </w:t>
      </w:r>
      <w:r w:rsidR="00CB1A16" w:rsidRPr="00DC1DB6">
        <w:rPr>
          <w:rFonts w:ascii="Arial" w:hAnsi="Arial" w:cs="Arial"/>
          <w:bCs/>
          <w:sz w:val="22"/>
          <w:szCs w:val="22"/>
        </w:rPr>
        <w:t xml:space="preserve">Oficialía Mayor (OM) </w:t>
      </w:r>
      <w:r w:rsidR="000051EC" w:rsidRPr="00DC1DB6">
        <w:rPr>
          <w:rFonts w:ascii="Arial" w:hAnsi="Arial" w:cs="Arial"/>
          <w:bCs/>
          <w:sz w:val="22"/>
          <w:szCs w:val="22"/>
        </w:rPr>
        <w:t xml:space="preserve">del CONACYT, </w:t>
      </w:r>
      <w:r w:rsidRPr="00DC1DB6">
        <w:rPr>
          <w:rFonts w:ascii="Arial" w:hAnsi="Arial" w:cs="Arial"/>
          <w:bCs/>
          <w:sz w:val="22"/>
          <w:szCs w:val="22"/>
        </w:rPr>
        <w:t xml:space="preserve">organizó y convocó </w:t>
      </w:r>
      <w:r w:rsidR="00DC1DB6" w:rsidRPr="00DC1DB6">
        <w:rPr>
          <w:rFonts w:ascii="Arial" w:hAnsi="Arial" w:cs="Arial"/>
          <w:bCs/>
          <w:sz w:val="22"/>
          <w:szCs w:val="22"/>
        </w:rPr>
        <w:t>dos Sesiones</w:t>
      </w:r>
      <w:r w:rsidRPr="00DC1DB6">
        <w:rPr>
          <w:rFonts w:ascii="Arial" w:hAnsi="Arial" w:cs="Arial"/>
          <w:bCs/>
          <w:sz w:val="22"/>
          <w:szCs w:val="22"/>
        </w:rPr>
        <w:t xml:space="preserve"> Ordinaria</w:t>
      </w:r>
      <w:r w:rsidR="00DC1DB6" w:rsidRPr="00DC1DB6">
        <w:rPr>
          <w:rFonts w:ascii="Arial" w:hAnsi="Arial" w:cs="Arial"/>
          <w:bCs/>
          <w:sz w:val="22"/>
          <w:szCs w:val="22"/>
        </w:rPr>
        <w:t>s</w:t>
      </w:r>
      <w:r w:rsidRPr="00DC1DB6">
        <w:rPr>
          <w:rFonts w:ascii="Arial" w:hAnsi="Arial" w:cs="Arial"/>
          <w:bCs/>
          <w:sz w:val="22"/>
          <w:szCs w:val="22"/>
        </w:rPr>
        <w:t xml:space="preserve"> del</w:t>
      </w:r>
      <w:r w:rsidR="00CB1A16" w:rsidRPr="00DC1DB6">
        <w:rPr>
          <w:rFonts w:ascii="Arial" w:hAnsi="Arial" w:cs="Arial"/>
          <w:bCs/>
          <w:sz w:val="22"/>
          <w:szCs w:val="22"/>
        </w:rPr>
        <w:t xml:space="preserve"> </w:t>
      </w:r>
      <w:r w:rsidR="00DC1DB6" w:rsidRPr="00DC1DB6">
        <w:rPr>
          <w:rFonts w:ascii="Arial" w:hAnsi="Arial" w:cs="Arial"/>
          <w:bCs/>
          <w:sz w:val="22"/>
          <w:szCs w:val="22"/>
        </w:rPr>
        <w:t xml:space="preserve">CTA. La Primera sesión </w:t>
      </w:r>
      <w:r w:rsidR="00CB1A16" w:rsidRPr="00DC1DB6">
        <w:rPr>
          <w:rFonts w:ascii="Arial" w:hAnsi="Arial" w:cs="Arial"/>
          <w:bCs/>
          <w:sz w:val="22"/>
          <w:szCs w:val="22"/>
        </w:rPr>
        <w:t>se llevó</w:t>
      </w:r>
      <w:r w:rsidRPr="00DC1DB6">
        <w:rPr>
          <w:rFonts w:ascii="Arial" w:hAnsi="Arial" w:cs="Arial"/>
          <w:bCs/>
          <w:sz w:val="22"/>
          <w:szCs w:val="22"/>
        </w:rPr>
        <w:t xml:space="preserve"> a cabo el día </w:t>
      </w:r>
      <w:r w:rsidR="00DC1DB6" w:rsidRPr="00DC1DB6">
        <w:rPr>
          <w:rFonts w:ascii="Arial" w:hAnsi="Arial" w:cs="Arial"/>
          <w:bCs/>
          <w:sz w:val="22"/>
          <w:szCs w:val="22"/>
        </w:rPr>
        <w:t xml:space="preserve">29 de Agosto </w:t>
      </w:r>
      <w:r w:rsidR="00DC1DB6">
        <w:rPr>
          <w:rFonts w:ascii="Arial" w:hAnsi="Arial" w:cs="Arial"/>
          <w:bCs/>
          <w:sz w:val="22"/>
          <w:szCs w:val="22"/>
        </w:rPr>
        <w:t xml:space="preserve">y la Segunda el 12 de diciembre. </w:t>
      </w:r>
      <w:r w:rsidR="00DC1DB6">
        <w:rPr>
          <w:rFonts w:ascii="Arial" w:hAnsi="Arial" w:cs="Arial"/>
          <w:sz w:val="22"/>
          <w:szCs w:val="22"/>
          <w:lang w:eastAsia="es-MX"/>
        </w:rPr>
        <w:t>Durante la primera Sesión</w:t>
      </w:r>
      <w:r w:rsidR="00DC1DB6" w:rsidRPr="00DC1DB6">
        <w:rPr>
          <w:rFonts w:ascii="Arial" w:hAnsi="Arial" w:cs="Arial"/>
          <w:sz w:val="22"/>
          <w:szCs w:val="22"/>
          <w:lang w:eastAsia="es-MX"/>
        </w:rPr>
        <w:t>, se aprobó la propuesta de modificación a las Reglas de Operación del FONDO, en el seno de la Primera Sesión Ordinaria del Comité Técnico y de Administración (</w:t>
      </w:r>
      <w:proofErr w:type="spellStart"/>
      <w:r w:rsidR="00DC1DB6" w:rsidRPr="00DC1DB6">
        <w:rPr>
          <w:rFonts w:ascii="Arial" w:hAnsi="Arial" w:cs="Arial"/>
          <w:sz w:val="22"/>
          <w:szCs w:val="22"/>
          <w:lang w:eastAsia="es-MX"/>
        </w:rPr>
        <w:t>CTyA</w:t>
      </w:r>
      <w:proofErr w:type="spellEnd"/>
      <w:r w:rsidR="00DC1DB6" w:rsidRPr="00DC1DB6">
        <w:rPr>
          <w:rFonts w:ascii="Arial" w:hAnsi="Arial" w:cs="Arial"/>
          <w:sz w:val="22"/>
          <w:szCs w:val="22"/>
          <w:lang w:eastAsia="es-MX"/>
        </w:rPr>
        <w:t>). Derivado de lo anterior, se llevó a cabo su presentación tanto ante la Comisión Asesora de la Junta de Gobierno del CONACYT, como ante la misma Junta de Gobierno del día 10 de diciembre de 2014, donde fueron validadas las modificaciones.</w:t>
      </w:r>
      <w:r w:rsidR="00DC1DB6">
        <w:rPr>
          <w:rFonts w:ascii="Arial" w:hAnsi="Arial" w:cs="Arial"/>
          <w:sz w:val="22"/>
          <w:szCs w:val="22"/>
          <w:lang w:eastAsia="es-MX"/>
        </w:rPr>
        <w:t xml:space="preserve"> </w:t>
      </w:r>
      <w:r w:rsidR="00DC1DB6" w:rsidRPr="00DC1DB6">
        <w:rPr>
          <w:rFonts w:ascii="Arial" w:hAnsi="Arial" w:cs="Arial"/>
          <w:sz w:val="22"/>
          <w:szCs w:val="22"/>
          <w:lang w:eastAsia="es-MX"/>
        </w:rPr>
        <w:t xml:space="preserve">De igual manera se modificó el modelo de convenio (CAR), de conformidad con los criterios establecidos por la Unidad de Asuntos Jurídicos. </w:t>
      </w:r>
    </w:p>
    <w:p w:rsidR="00CB2DCF" w:rsidRDefault="00CB2DCF" w:rsidP="00CB2DCF">
      <w:pPr>
        <w:autoSpaceDE w:val="0"/>
        <w:autoSpaceDN w:val="0"/>
        <w:adjustRightInd w:val="0"/>
        <w:jc w:val="both"/>
        <w:rPr>
          <w:rFonts w:ascii="Arial" w:hAnsi="Arial" w:cs="Arial"/>
          <w:sz w:val="22"/>
          <w:szCs w:val="22"/>
          <w:lang w:eastAsia="es-MX"/>
        </w:rPr>
      </w:pPr>
    </w:p>
    <w:p w:rsidR="00CB2DCF" w:rsidRPr="00CB2DCF" w:rsidRDefault="00CB2DCF" w:rsidP="00CB2DCF">
      <w:pPr>
        <w:autoSpaceDE w:val="0"/>
        <w:autoSpaceDN w:val="0"/>
        <w:adjustRightInd w:val="0"/>
        <w:jc w:val="both"/>
        <w:rPr>
          <w:rFonts w:ascii="Arial" w:hAnsi="Arial" w:cs="Arial"/>
          <w:sz w:val="22"/>
          <w:szCs w:val="22"/>
          <w:lang w:eastAsia="es-MX"/>
        </w:rPr>
      </w:pPr>
    </w:p>
    <w:p w:rsidR="00905BA9" w:rsidRPr="00CB2DCF" w:rsidRDefault="00CB2DCF" w:rsidP="00CB2DCF">
      <w:pPr>
        <w:autoSpaceDE w:val="0"/>
        <w:autoSpaceDN w:val="0"/>
        <w:adjustRightInd w:val="0"/>
        <w:jc w:val="both"/>
        <w:rPr>
          <w:rFonts w:ascii="Arial" w:hAnsi="Arial" w:cs="Arial"/>
          <w:b/>
          <w:bCs/>
          <w:sz w:val="22"/>
          <w:szCs w:val="22"/>
          <w:lang w:eastAsia="es-MX"/>
        </w:rPr>
      </w:pPr>
      <w:r w:rsidRPr="00CB2DCF">
        <w:rPr>
          <w:rFonts w:ascii="Arial" w:hAnsi="Arial" w:cs="Arial"/>
          <w:b/>
          <w:bCs/>
          <w:sz w:val="22"/>
          <w:szCs w:val="22"/>
          <w:lang w:eastAsia="es-MX"/>
        </w:rPr>
        <w:lastRenderedPageBreak/>
        <w:t>Avances del Programa de Trabajo Bi</w:t>
      </w:r>
      <w:r w:rsidR="000051EC">
        <w:rPr>
          <w:rFonts w:ascii="Arial" w:hAnsi="Arial" w:cs="Arial"/>
          <w:b/>
          <w:bCs/>
          <w:sz w:val="22"/>
          <w:szCs w:val="22"/>
          <w:lang w:eastAsia="es-MX"/>
        </w:rPr>
        <w:t>e</w:t>
      </w:r>
      <w:r w:rsidRPr="00CB2DCF">
        <w:rPr>
          <w:rFonts w:ascii="Arial" w:hAnsi="Arial" w:cs="Arial"/>
          <w:b/>
          <w:bCs/>
          <w:sz w:val="22"/>
          <w:szCs w:val="22"/>
          <w:lang w:eastAsia="es-MX"/>
        </w:rPr>
        <w:t>nal 2013-2014.</w:t>
      </w:r>
    </w:p>
    <w:p w:rsidR="00CB2DCF" w:rsidRPr="00CB2DCF" w:rsidRDefault="00CB2DCF" w:rsidP="00CB2DCF">
      <w:pPr>
        <w:autoSpaceDE w:val="0"/>
        <w:autoSpaceDN w:val="0"/>
        <w:adjustRightInd w:val="0"/>
        <w:jc w:val="both"/>
        <w:rPr>
          <w:rFonts w:ascii="Arial" w:hAnsi="Arial" w:cs="Arial"/>
          <w:b/>
          <w:bCs/>
          <w:sz w:val="22"/>
          <w:szCs w:val="22"/>
          <w:lang w:eastAsia="es-MX"/>
        </w:rPr>
      </w:pPr>
    </w:p>
    <w:p w:rsidR="00CB2DCF" w:rsidRPr="00CB2DCF" w:rsidRDefault="00CB2DCF" w:rsidP="00CB2DCF">
      <w:pPr>
        <w:jc w:val="both"/>
        <w:rPr>
          <w:rFonts w:ascii="Arial" w:hAnsi="Arial" w:cs="Arial"/>
          <w:kern w:val="24"/>
          <w:sz w:val="22"/>
          <w:szCs w:val="22"/>
          <w:lang w:eastAsia="es-MX"/>
        </w:rPr>
      </w:pPr>
      <w:r w:rsidRPr="00CB2DCF">
        <w:rPr>
          <w:rFonts w:ascii="Arial" w:hAnsi="Arial" w:cs="Arial"/>
          <w:kern w:val="24"/>
          <w:sz w:val="22"/>
          <w:szCs w:val="22"/>
          <w:lang w:eastAsia="es-MX"/>
        </w:rPr>
        <w:t xml:space="preserve">El Programa de Trabajo </w:t>
      </w:r>
      <w:r w:rsidR="000051EC">
        <w:rPr>
          <w:rFonts w:ascii="Arial" w:hAnsi="Arial" w:cs="Arial"/>
          <w:kern w:val="24"/>
          <w:sz w:val="22"/>
          <w:szCs w:val="22"/>
          <w:lang w:eastAsia="es-MX"/>
        </w:rPr>
        <w:t>Bienal</w:t>
      </w:r>
      <w:r w:rsidR="000051EC" w:rsidRPr="00CB2DCF">
        <w:rPr>
          <w:rFonts w:ascii="Arial" w:hAnsi="Arial" w:cs="Arial"/>
          <w:kern w:val="24"/>
          <w:sz w:val="22"/>
          <w:szCs w:val="22"/>
          <w:lang w:eastAsia="es-MX"/>
        </w:rPr>
        <w:t xml:space="preserve"> </w:t>
      </w:r>
      <w:r w:rsidRPr="00CB2DCF">
        <w:rPr>
          <w:rFonts w:ascii="Arial" w:hAnsi="Arial" w:cs="Arial"/>
          <w:kern w:val="24"/>
          <w:sz w:val="22"/>
          <w:szCs w:val="22"/>
          <w:lang w:eastAsia="es-MX"/>
        </w:rPr>
        <w:t xml:space="preserve">2013-2014 se encuentra alineado con las metas nacionales y las estrategias transversales contenidas en el Plan Nacional de Desarrollo (PND) 2013-2018. Adicionalmente busca contribuir a detallar las estrategias y líneas de acción a ser incluidas en el Programa para el Desarrollo de la Bioseguridad y la Biotecnología (PDBB) mandatado en el artículo 29 de la LBOGM y </w:t>
      </w:r>
      <w:r w:rsidR="000051EC">
        <w:rPr>
          <w:rFonts w:ascii="Arial" w:hAnsi="Arial" w:cs="Arial"/>
          <w:kern w:val="24"/>
          <w:sz w:val="22"/>
          <w:szCs w:val="22"/>
          <w:lang w:eastAsia="es-MX"/>
        </w:rPr>
        <w:t xml:space="preserve">que estará </w:t>
      </w:r>
      <w:r w:rsidRPr="00CB2DCF">
        <w:rPr>
          <w:rFonts w:ascii="Arial" w:hAnsi="Arial" w:cs="Arial"/>
          <w:kern w:val="24"/>
          <w:sz w:val="22"/>
          <w:szCs w:val="22"/>
          <w:lang w:eastAsia="es-MX"/>
        </w:rPr>
        <w:t xml:space="preserve">contenido en el Programa Especial de Ciencia Tecnología e Innovación (PECITI), así como a fortalecer las líneas de acción de otros Programas Sectoriales. </w:t>
      </w:r>
    </w:p>
    <w:p w:rsidR="00CB2DCF" w:rsidRPr="00CB2DCF" w:rsidRDefault="00CB2DCF" w:rsidP="00CB2DCF">
      <w:pPr>
        <w:jc w:val="both"/>
        <w:rPr>
          <w:rFonts w:ascii="Arial" w:hAnsi="Arial" w:cs="Arial"/>
          <w:kern w:val="24"/>
          <w:sz w:val="22"/>
          <w:szCs w:val="22"/>
          <w:lang w:eastAsia="es-MX"/>
        </w:rPr>
      </w:pPr>
    </w:p>
    <w:p w:rsidR="00CB2DCF" w:rsidRPr="00CB2DCF" w:rsidRDefault="00CB2DCF" w:rsidP="00CB2DCF">
      <w:pPr>
        <w:jc w:val="both"/>
        <w:rPr>
          <w:rFonts w:ascii="Arial" w:hAnsi="Arial" w:cs="Arial"/>
          <w:kern w:val="24"/>
          <w:sz w:val="22"/>
          <w:szCs w:val="22"/>
          <w:lang w:eastAsia="es-MX"/>
        </w:rPr>
      </w:pPr>
      <w:r w:rsidRPr="00CB2DCF">
        <w:rPr>
          <w:rFonts w:ascii="Arial" w:hAnsi="Arial" w:cs="Arial"/>
          <w:kern w:val="24"/>
          <w:sz w:val="22"/>
          <w:szCs w:val="22"/>
          <w:lang w:eastAsia="es-MX"/>
        </w:rPr>
        <w:t>Esta propuesta de Programa de Trabajo Bi</w:t>
      </w:r>
      <w:r w:rsidR="000051EC">
        <w:rPr>
          <w:rFonts w:ascii="Arial" w:hAnsi="Arial" w:cs="Arial"/>
          <w:kern w:val="24"/>
          <w:sz w:val="22"/>
          <w:szCs w:val="22"/>
          <w:lang w:eastAsia="es-MX"/>
        </w:rPr>
        <w:t>en</w:t>
      </w:r>
      <w:r w:rsidRPr="00CB2DCF">
        <w:rPr>
          <w:rFonts w:ascii="Arial" w:hAnsi="Arial" w:cs="Arial"/>
          <w:kern w:val="24"/>
          <w:sz w:val="22"/>
          <w:szCs w:val="22"/>
          <w:lang w:eastAsia="es-MX"/>
        </w:rPr>
        <w:t>al 2013-2014 retoma las actividades del Programa de Trabajo Bianual 2011-2012 que así lo ameritan. Se han incluido varias actividades que requieren seguimiento continuo así como actividades que responden al cumplimiento del marco legal vigente que se consideró importante fortalecer. La propuesta inicial se ha modificado en función de los comentarios y sugerencias pertinentes que se recibieron por parte los órganos técnicos y consultivos de la CIBIOGEM.</w:t>
      </w:r>
    </w:p>
    <w:p w:rsidR="00CB2DCF" w:rsidRPr="00CB2DCF" w:rsidRDefault="00CB2DCF" w:rsidP="00CB2DCF">
      <w:pPr>
        <w:jc w:val="both"/>
        <w:rPr>
          <w:rFonts w:ascii="Arial" w:hAnsi="Arial" w:cs="Arial"/>
          <w:kern w:val="24"/>
          <w:sz w:val="22"/>
          <w:szCs w:val="22"/>
          <w:lang w:eastAsia="es-MX"/>
        </w:rPr>
      </w:pPr>
    </w:p>
    <w:p w:rsidR="00CB2DCF" w:rsidRPr="00CB2DCF" w:rsidRDefault="00CB2DCF" w:rsidP="00CB2DCF">
      <w:pPr>
        <w:jc w:val="both"/>
        <w:rPr>
          <w:rFonts w:ascii="Arial" w:hAnsi="Arial" w:cs="Arial"/>
          <w:kern w:val="24"/>
          <w:sz w:val="22"/>
          <w:szCs w:val="22"/>
          <w:lang w:eastAsia="es-MX"/>
        </w:rPr>
      </w:pPr>
      <w:r w:rsidRPr="00CB2DCF">
        <w:rPr>
          <w:rFonts w:ascii="Arial" w:hAnsi="Arial" w:cs="Arial"/>
          <w:kern w:val="24"/>
          <w:sz w:val="22"/>
          <w:szCs w:val="22"/>
          <w:lang w:eastAsia="es-MX"/>
        </w:rPr>
        <w:t>A partir del análisis del informe del Programa de Trabajo Bianual 2011-2012 y de los insumos considerados, esta propuesta de Programa de Trabajo incluye dos de los Objetivos Generales estratégicos previos y ajusta los componentes de otros dos Objetivos Generales en función de los elementos c</w:t>
      </w:r>
      <w:r w:rsidR="0001327D">
        <w:rPr>
          <w:rFonts w:ascii="Arial" w:hAnsi="Arial" w:cs="Arial"/>
          <w:kern w:val="24"/>
          <w:sz w:val="22"/>
          <w:szCs w:val="22"/>
          <w:lang w:eastAsia="es-MX"/>
        </w:rPr>
        <w:t xml:space="preserve">entrales que atiende cada uno. </w:t>
      </w:r>
      <w:r w:rsidRPr="00CB2DCF">
        <w:rPr>
          <w:rFonts w:ascii="Arial" w:hAnsi="Arial" w:cs="Arial"/>
          <w:kern w:val="24"/>
          <w:sz w:val="22"/>
          <w:szCs w:val="22"/>
          <w:lang w:eastAsia="es-MX"/>
        </w:rPr>
        <w:t xml:space="preserve">Así mismo se han adecuado los Objetivos Específicos contenidos en el programa derivado de la inclusión de actividades identificadas derivadas de las decisiones de la COP-MOP 5 y 6. Cada Objetivo Especifico derivado de los Objetivos Generales, está enmarcado con acciones y entregables así como la identificación de responsables y con metas encaminadas a alcanzar el producto final de su desarrollo. En total se describen 42 metas, un promedio de 3.8 metas por cada objetivo, por lo que la implementación de este ambicioso Programa requiere un seguimiento muy estrecho, un compromiso de todos los actores involucrados así como de la disponibilidad de los recursos necesarios para su implementación. </w:t>
      </w:r>
    </w:p>
    <w:p w:rsidR="00CB2DCF" w:rsidRPr="00CB2DCF" w:rsidRDefault="00CB2DCF" w:rsidP="00CB2DCF">
      <w:pPr>
        <w:jc w:val="both"/>
        <w:rPr>
          <w:rFonts w:ascii="Arial" w:hAnsi="Arial" w:cs="Arial"/>
          <w:kern w:val="24"/>
          <w:sz w:val="22"/>
          <w:szCs w:val="22"/>
          <w:lang w:eastAsia="es-MX"/>
        </w:rPr>
      </w:pPr>
    </w:p>
    <w:p w:rsidR="005F094E" w:rsidRPr="00CB2DCF" w:rsidRDefault="005F094E" w:rsidP="005F094E">
      <w:pPr>
        <w:jc w:val="both"/>
        <w:rPr>
          <w:rFonts w:ascii="Arial" w:hAnsi="Arial" w:cs="Arial"/>
          <w:sz w:val="22"/>
          <w:szCs w:val="22"/>
        </w:rPr>
      </w:pPr>
      <w:r w:rsidRPr="00CB2DCF">
        <w:rPr>
          <w:rFonts w:ascii="Arial" w:hAnsi="Arial" w:cs="Arial"/>
          <w:sz w:val="22"/>
          <w:szCs w:val="22"/>
        </w:rPr>
        <w:t xml:space="preserve">La Secretaría Ejecutiva, conforme al objeto de la CIBIOGEM, reporta los avances del trabajo realizado para el período que va del 1 de enero al 31 de </w:t>
      </w:r>
      <w:r w:rsidR="003618B0" w:rsidRPr="00CB2DCF">
        <w:rPr>
          <w:rFonts w:ascii="Arial" w:hAnsi="Arial" w:cs="Arial"/>
          <w:sz w:val="22"/>
          <w:szCs w:val="22"/>
        </w:rPr>
        <w:t xml:space="preserve">diciembre </w:t>
      </w:r>
      <w:r w:rsidRPr="00CB2DCF">
        <w:rPr>
          <w:rFonts w:ascii="Arial" w:hAnsi="Arial" w:cs="Arial"/>
          <w:sz w:val="22"/>
          <w:szCs w:val="22"/>
        </w:rPr>
        <w:t>de 201</w:t>
      </w:r>
      <w:r w:rsidR="00DC1DB6">
        <w:rPr>
          <w:rFonts w:ascii="Arial" w:hAnsi="Arial" w:cs="Arial"/>
          <w:sz w:val="22"/>
          <w:szCs w:val="22"/>
        </w:rPr>
        <w:t>4</w:t>
      </w:r>
      <w:r w:rsidRPr="00CB2DCF">
        <w:rPr>
          <w:rFonts w:ascii="Arial" w:hAnsi="Arial" w:cs="Arial"/>
          <w:sz w:val="22"/>
          <w:szCs w:val="22"/>
        </w:rPr>
        <w:t xml:space="preserve"> en el marco de cuatro áreas principales: </w:t>
      </w:r>
    </w:p>
    <w:p w:rsidR="005F094E" w:rsidRPr="00CB2DCF" w:rsidRDefault="005F094E" w:rsidP="005F094E">
      <w:pPr>
        <w:ind w:firstLine="360"/>
        <w:jc w:val="both"/>
        <w:rPr>
          <w:rFonts w:ascii="Arial" w:hAnsi="Arial" w:cs="Arial"/>
          <w:sz w:val="22"/>
          <w:szCs w:val="22"/>
        </w:rPr>
      </w:pPr>
    </w:p>
    <w:p w:rsidR="007B3C65" w:rsidRPr="00E167CF" w:rsidRDefault="00E167CF" w:rsidP="00E167CF">
      <w:pPr>
        <w:pStyle w:val="Prrafodelista"/>
        <w:numPr>
          <w:ilvl w:val="0"/>
          <w:numId w:val="35"/>
        </w:numPr>
        <w:jc w:val="both"/>
        <w:rPr>
          <w:rFonts w:cs="Arial"/>
          <w:sz w:val="22"/>
        </w:rPr>
      </w:pPr>
      <w:r w:rsidRPr="00E167CF">
        <w:rPr>
          <w:rFonts w:cs="Arial"/>
          <w:sz w:val="22"/>
        </w:rPr>
        <w:t xml:space="preserve">Objetivo general 1: </w:t>
      </w:r>
      <w:r w:rsidR="007B3C65" w:rsidRPr="00E167CF">
        <w:rPr>
          <w:rFonts w:cs="Arial"/>
          <w:sz w:val="22"/>
        </w:rPr>
        <w:t>Fomentar y desarrollar la investigación y generar herramientas para atender las necesidades nacionales en materia de bioseguridad y biotecnología</w:t>
      </w:r>
    </w:p>
    <w:p w:rsidR="007B3C65" w:rsidRPr="00E167CF" w:rsidRDefault="00E167CF" w:rsidP="00E167CF">
      <w:pPr>
        <w:pStyle w:val="Prrafodelista"/>
        <w:numPr>
          <w:ilvl w:val="0"/>
          <w:numId w:val="35"/>
        </w:numPr>
        <w:jc w:val="both"/>
        <w:rPr>
          <w:rFonts w:cs="Arial"/>
          <w:sz w:val="22"/>
        </w:rPr>
      </w:pPr>
      <w:r w:rsidRPr="00E167CF">
        <w:rPr>
          <w:rFonts w:cs="Arial"/>
          <w:sz w:val="22"/>
        </w:rPr>
        <w:t xml:space="preserve">Objetivo general 2: </w:t>
      </w:r>
      <w:r w:rsidR="007B3C65" w:rsidRPr="00E167CF">
        <w:rPr>
          <w:rFonts w:cs="Arial"/>
          <w:sz w:val="22"/>
        </w:rPr>
        <w:t>Información y difusión</w:t>
      </w:r>
    </w:p>
    <w:p w:rsidR="007B3C65" w:rsidRPr="00E167CF" w:rsidRDefault="00E167CF" w:rsidP="00E167CF">
      <w:pPr>
        <w:pStyle w:val="Prrafodelista"/>
        <w:numPr>
          <w:ilvl w:val="0"/>
          <w:numId w:val="35"/>
        </w:numPr>
        <w:jc w:val="both"/>
        <w:rPr>
          <w:rFonts w:cs="Arial"/>
          <w:sz w:val="22"/>
        </w:rPr>
      </w:pPr>
      <w:r w:rsidRPr="00E167CF">
        <w:rPr>
          <w:rFonts w:cs="Arial"/>
          <w:sz w:val="22"/>
        </w:rPr>
        <w:t xml:space="preserve">Objetivo general 3: </w:t>
      </w:r>
      <w:r w:rsidR="007B3C65" w:rsidRPr="00E167CF">
        <w:rPr>
          <w:rFonts w:cs="Arial"/>
          <w:sz w:val="22"/>
        </w:rPr>
        <w:t>Implementación y seguimiento de manera coordinada del marco regulatorio y las políticas públicas en bioseguridad</w:t>
      </w:r>
    </w:p>
    <w:p w:rsidR="007B3C65" w:rsidRPr="00E167CF" w:rsidRDefault="00E167CF" w:rsidP="00E167CF">
      <w:pPr>
        <w:pStyle w:val="Prrafodelista"/>
        <w:numPr>
          <w:ilvl w:val="0"/>
          <w:numId w:val="35"/>
        </w:numPr>
        <w:jc w:val="both"/>
        <w:rPr>
          <w:rFonts w:cs="Arial"/>
          <w:sz w:val="22"/>
        </w:rPr>
      </w:pPr>
      <w:r w:rsidRPr="00E167CF">
        <w:rPr>
          <w:rFonts w:cs="Arial"/>
          <w:sz w:val="22"/>
        </w:rPr>
        <w:t xml:space="preserve">Objetivo general 4: </w:t>
      </w:r>
      <w:r w:rsidR="007B3C65" w:rsidRPr="00E167CF">
        <w:rPr>
          <w:rFonts w:cs="Arial"/>
          <w:sz w:val="22"/>
        </w:rPr>
        <w:t>Fortalecimiento de capacidades para el uso seguro y responsable de la biotecnología</w:t>
      </w:r>
    </w:p>
    <w:p w:rsidR="005F094E" w:rsidRDefault="005F094E" w:rsidP="005F094E">
      <w:pPr>
        <w:jc w:val="both"/>
        <w:rPr>
          <w:rFonts w:ascii="Arial" w:hAnsi="Arial" w:cs="Arial"/>
          <w:sz w:val="22"/>
          <w:szCs w:val="22"/>
        </w:rPr>
      </w:pPr>
    </w:p>
    <w:p w:rsidR="0005376C" w:rsidRPr="00CB2DCF" w:rsidRDefault="0005376C" w:rsidP="005F094E">
      <w:pPr>
        <w:jc w:val="both"/>
        <w:rPr>
          <w:rFonts w:ascii="Arial" w:hAnsi="Arial" w:cs="Arial"/>
        </w:rPr>
      </w:pPr>
    </w:p>
    <w:p w:rsidR="007B3C65" w:rsidRPr="005220BB" w:rsidRDefault="00E167CF" w:rsidP="005220BB">
      <w:pPr>
        <w:jc w:val="both"/>
        <w:rPr>
          <w:rFonts w:ascii="Arial" w:hAnsi="Arial" w:cs="Arial"/>
          <w:kern w:val="24"/>
          <w:lang w:eastAsia="es-MX"/>
        </w:rPr>
      </w:pPr>
      <w:r w:rsidRPr="00E167CF">
        <w:rPr>
          <w:rFonts w:ascii="Arial" w:hAnsi="Arial" w:cs="Arial"/>
          <w:b/>
        </w:rPr>
        <w:t xml:space="preserve">OBJETIVO GENERAL 1. </w:t>
      </w:r>
      <w:r w:rsidR="007B3C65" w:rsidRPr="005220BB">
        <w:rPr>
          <w:rFonts w:ascii="Arial" w:hAnsi="Arial" w:cs="Arial"/>
          <w:b/>
        </w:rPr>
        <w:t>FOMENTAR Y DESARROLLAR LA INVESTIGACIÓN Y GENERAR HERRAMIENTAS PARA ATENDER LAS NECESIDADES NACIONALES EN MATERIA DE BIOSEGURIDAD Y BIOTECNOLOGÍA.</w:t>
      </w:r>
    </w:p>
    <w:p w:rsidR="00CB2DCF" w:rsidRPr="00CB2DCF" w:rsidRDefault="00CB2DCF" w:rsidP="005F094E">
      <w:pPr>
        <w:pStyle w:val="Prrafodelista"/>
        <w:rPr>
          <w:rFonts w:eastAsia="Times New Roman" w:cs="Arial"/>
          <w:sz w:val="22"/>
          <w:lang w:eastAsia="es-ES"/>
        </w:rPr>
      </w:pPr>
    </w:p>
    <w:p w:rsidR="000B79AB" w:rsidRPr="005F094E" w:rsidRDefault="000B79AB" w:rsidP="000B79AB">
      <w:pPr>
        <w:jc w:val="both"/>
        <w:rPr>
          <w:rFonts w:ascii="Arial" w:hAnsi="Arial" w:cs="Arial"/>
        </w:rPr>
      </w:pPr>
    </w:p>
    <w:p w:rsidR="000B79AB" w:rsidRPr="000B79AB" w:rsidRDefault="000B79AB" w:rsidP="000B79AB">
      <w:pPr>
        <w:jc w:val="both"/>
        <w:rPr>
          <w:rFonts w:ascii="Arial" w:hAnsi="Arial" w:cs="Arial"/>
          <w:kern w:val="24"/>
          <w:sz w:val="22"/>
          <w:szCs w:val="22"/>
          <w:lang w:eastAsia="es-MX"/>
        </w:rPr>
      </w:pPr>
      <w:r w:rsidRPr="000B79AB">
        <w:rPr>
          <w:rFonts w:ascii="Arial" w:hAnsi="Arial" w:cs="Arial"/>
          <w:kern w:val="24"/>
          <w:sz w:val="22"/>
          <w:szCs w:val="22"/>
          <w:lang w:eastAsia="es-MX"/>
        </w:rPr>
        <w:t>Se dio seguimiento técnico y administrativo de los Proyectos vigentes aprobados a través del FONDO CIBIOGEM en las modalidades de Bioseguridad (2011, 2012) y Biotecnología (2010). Los detalles de dichos proyectos se encuentran en la tabla 1.</w:t>
      </w:r>
    </w:p>
    <w:p w:rsidR="000B79AB" w:rsidRPr="000B79AB" w:rsidRDefault="000B79AB" w:rsidP="000B79AB">
      <w:pPr>
        <w:jc w:val="both"/>
        <w:rPr>
          <w:rFonts w:ascii="Arial" w:hAnsi="Arial" w:cs="Arial"/>
          <w:kern w:val="24"/>
          <w:sz w:val="22"/>
          <w:szCs w:val="22"/>
          <w:lang w:eastAsia="es-MX"/>
        </w:rPr>
      </w:pPr>
    </w:p>
    <w:p w:rsidR="000B79AB" w:rsidRPr="000B79AB" w:rsidRDefault="000B79AB" w:rsidP="000B79AB">
      <w:pPr>
        <w:jc w:val="both"/>
        <w:rPr>
          <w:rFonts w:ascii="Arial" w:hAnsi="Arial" w:cs="Arial"/>
          <w:kern w:val="24"/>
          <w:sz w:val="22"/>
          <w:szCs w:val="22"/>
          <w:lang w:eastAsia="es-MX"/>
        </w:rPr>
      </w:pPr>
      <w:r w:rsidRPr="000B79AB">
        <w:rPr>
          <w:rFonts w:ascii="Arial" w:hAnsi="Arial" w:cs="Arial"/>
          <w:kern w:val="24"/>
          <w:sz w:val="22"/>
          <w:szCs w:val="22"/>
          <w:lang w:eastAsia="es-MX"/>
        </w:rPr>
        <w:t xml:space="preserve">Durante el mes de marzo dio inicio el proceso de emisión de convocatorias para las nuevas demandas identificadas por los órganos técnicos y consultivos de la CIBIOGEM y aprobadas por la Comisión. El 28 de marzo se realizó la publicación de la convocatoria </w:t>
      </w:r>
      <w:r>
        <w:rPr>
          <w:rFonts w:ascii="Arial" w:hAnsi="Arial" w:cs="Arial"/>
          <w:kern w:val="24"/>
          <w:sz w:val="22"/>
          <w:szCs w:val="22"/>
          <w:lang w:eastAsia="es-MX"/>
        </w:rPr>
        <w:t xml:space="preserve">para proyectos de bioseguridad, misma que cerró el 31 de mayo. Esta incluyo los </w:t>
      </w:r>
      <w:r w:rsidRPr="000B79AB">
        <w:rPr>
          <w:rFonts w:ascii="Arial" w:hAnsi="Arial" w:cs="Arial"/>
          <w:kern w:val="24"/>
          <w:sz w:val="22"/>
          <w:szCs w:val="22"/>
          <w:lang w:eastAsia="es-MX"/>
        </w:rPr>
        <w:t xml:space="preserve">siguientes proyectos: </w:t>
      </w:r>
    </w:p>
    <w:p w:rsidR="000B79AB" w:rsidRPr="000B79AB" w:rsidRDefault="000B79AB" w:rsidP="000B79AB">
      <w:pPr>
        <w:pStyle w:val="Prrafodelista"/>
        <w:numPr>
          <w:ilvl w:val="0"/>
          <w:numId w:val="37"/>
        </w:numPr>
        <w:jc w:val="both"/>
        <w:rPr>
          <w:rFonts w:cs="Arial"/>
          <w:kern w:val="24"/>
          <w:sz w:val="22"/>
          <w:lang w:eastAsia="es-MX"/>
        </w:rPr>
      </w:pPr>
      <w:r w:rsidRPr="000B79AB">
        <w:rPr>
          <w:rFonts w:cs="Arial"/>
          <w:kern w:val="24"/>
          <w:sz w:val="22"/>
          <w:lang w:eastAsia="es-MX"/>
        </w:rPr>
        <w:t xml:space="preserve">Estudios de Percepción Pública sobre el uso de Organismos Genéticamente Modificados. </w:t>
      </w:r>
    </w:p>
    <w:p w:rsidR="000B79AB" w:rsidRPr="000B79AB" w:rsidRDefault="000B79AB" w:rsidP="000B79AB">
      <w:pPr>
        <w:pStyle w:val="Prrafodelista"/>
        <w:numPr>
          <w:ilvl w:val="0"/>
          <w:numId w:val="37"/>
        </w:numPr>
        <w:jc w:val="both"/>
        <w:rPr>
          <w:rFonts w:cs="Arial"/>
          <w:kern w:val="24"/>
          <w:sz w:val="22"/>
          <w:lang w:eastAsia="es-MX"/>
        </w:rPr>
      </w:pPr>
      <w:r w:rsidRPr="000B79AB">
        <w:rPr>
          <w:rFonts w:cs="Arial"/>
          <w:kern w:val="24"/>
          <w:sz w:val="22"/>
          <w:lang w:eastAsia="es-MX"/>
        </w:rPr>
        <w:t>Desarrollo de metodologías de detección en campo de organismos genéticamente modificados que se siembran actualmente en México.</w:t>
      </w:r>
    </w:p>
    <w:p w:rsidR="000B79AB" w:rsidRPr="000B79AB" w:rsidRDefault="000B79AB" w:rsidP="000B79AB">
      <w:pPr>
        <w:jc w:val="both"/>
        <w:rPr>
          <w:rFonts w:ascii="Arial" w:hAnsi="Arial" w:cs="Arial"/>
          <w:kern w:val="24"/>
          <w:sz w:val="22"/>
          <w:szCs w:val="22"/>
          <w:lang w:eastAsia="es-MX"/>
        </w:rPr>
      </w:pPr>
      <w:r w:rsidRPr="000B79AB">
        <w:rPr>
          <w:rFonts w:ascii="Arial" w:hAnsi="Arial" w:cs="Arial"/>
          <w:kern w:val="24"/>
          <w:sz w:val="22"/>
          <w:szCs w:val="22"/>
          <w:lang w:eastAsia="es-MX"/>
        </w:rPr>
        <w:t>El día 30 de junio se abrió la convocatoria para las dem</w:t>
      </w:r>
      <w:r>
        <w:rPr>
          <w:rFonts w:ascii="Arial" w:hAnsi="Arial" w:cs="Arial"/>
          <w:kern w:val="24"/>
          <w:sz w:val="22"/>
          <w:szCs w:val="22"/>
          <w:lang w:eastAsia="es-MX"/>
        </w:rPr>
        <w:t xml:space="preserve">andas del área de biotecnología y el cierre de la convocatoria se dio el </w:t>
      </w:r>
      <w:r w:rsidRPr="000B79AB">
        <w:rPr>
          <w:rFonts w:ascii="Arial" w:hAnsi="Arial" w:cs="Arial"/>
          <w:kern w:val="24"/>
          <w:sz w:val="22"/>
          <w:szCs w:val="22"/>
          <w:lang w:eastAsia="es-MX"/>
        </w:rPr>
        <w:t>17 de septiembre</w:t>
      </w:r>
      <w:r>
        <w:rPr>
          <w:rFonts w:ascii="Arial" w:hAnsi="Arial" w:cs="Arial"/>
          <w:kern w:val="24"/>
          <w:sz w:val="22"/>
          <w:szCs w:val="22"/>
          <w:lang w:eastAsia="es-MX"/>
        </w:rPr>
        <w:t xml:space="preserve">. En esta ocasión se </w:t>
      </w:r>
      <w:proofErr w:type="spellStart"/>
      <w:r>
        <w:rPr>
          <w:rFonts w:ascii="Arial" w:hAnsi="Arial" w:cs="Arial"/>
          <w:kern w:val="24"/>
          <w:sz w:val="22"/>
          <w:szCs w:val="22"/>
          <w:lang w:eastAsia="es-MX"/>
        </w:rPr>
        <w:t>atendio</w:t>
      </w:r>
      <w:proofErr w:type="spellEnd"/>
      <w:r w:rsidRPr="000B79AB">
        <w:rPr>
          <w:rFonts w:ascii="Arial" w:hAnsi="Arial" w:cs="Arial"/>
          <w:kern w:val="24"/>
          <w:sz w:val="22"/>
          <w:szCs w:val="22"/>
          <w:lang w:eastAsia="es-MX"/>
        </w:rPr>
        <w:t xml:space="preserve"> las siguientes demandas:</w:t>
      </w:r>
    </w:p>
    <w:p w:rsidR="000B79AB" w:rsidRPr="000B79AB" w:rsidRDefault="000B79AB" w:rsidP="000B79AB">
      <w:pPr>
        <w:pStyle w:val="Prrafodelista"/>
        <w:numPr>
          <w:ilvl w:val="0"/>
          <w:numId w:val="38"/>
        </w:numPr>
        <w:jc w:val="both"/>
        <w:rPr>
          <w:rFonts w:cs="Arial"/>
          <w:kern w:val="24"/>
          <w:sz w:val="22"/>
          <w:lang w:eastAsia="es-MX"/>
        </w:rPr>
      </w:pPr>
      <w:r w:rsidRPr="000B79AB">
        <w:rPr>
          <w:rFonts w:cs="Arial"/>
          <w:kern w:val="24"/>
          <w:sz w:val="22"/>
          <w:lang w:eastAsia="es-MX"/>
        </w:rPr>
        <w:t xml:space="preserve">Desarrollo de estrategias genéticas para el control de poblaciones de Aedes </w:t>
      </w:r>
      <w:proofErr w:type="spellStart"/>
      <w:r w:rsidRPr="000B79AB">
        <w:rPr>
          <w:rFonts w:cs="Arial"/>
          <w:kern w:val="24"/>
          <w:sz w:val="22"/>
          <w:lang w:eastAsia="es-MX"/>
        </w:rPr>
        <w:t>aegypti</w:t>
      </w:r>
      <w:proofErr w:type="spellEnd"/>
      <w:r w:rsidRPr="000B79AB">
        <w:rPr>
          <w:rFonts w:cs="Arial"/>
          <w:kern w:val="24"/>
          <w:sz w:val="22"/>
          <w:lang w:eastAsia="es-MX"/>
        </w:rPr>
        <w:t xml:space="preserve"> como vector del dengue en México.</w:t>
      </w:r>
    </w:p>
    <w:p w:rsidR="000B79AB" w:rsidRPr="000B79AB" w:rsidRDefault="000B79AB" w:rsidP="000B79AB">
      <w:pPr>
        <w:pStyle w:val="Prrafodelista"/>
        <w:numPr>
          <w:ilvl w:val="0"/>
          <w:numId w:val="38"/>
        </w:numPr>
        <w:jc w:val="both"/>
        <w:rPr>
          <w:rFonts w:cs="Arial"/>
          <w:kern w:val="24"/>
          <w:sz w:val="22"/>
          <w:lang w:eastAsia="es-MX"/>
        </w:rPr>
      </w:pPr>
      <w:r w:rsidRPr="000B79AB">
        <w:rPr>
          <w:rFonts w:cs="Arial"/>
          <w:kern w:val="24"/>
          <w:sz w:val="22"/>
          <w:lang w:eastAsia="es-MX"/>
        </w:rPr>
        <w:t>Desarrollo de guías técnicas que permitan estimar parámetros medibles que sean establecidos en campo para llevar a cabo la equivalencia agronómica de cultivos convencionales comparados con GM.</w:t>
      </w:r>
    </w:p>
    <w:p w:rsidR="000B79AB" w:rsidRDefault="000B79AB" w:rsidP="000B79AB">
      <w:pPr>
        <w:jc w:val="both"/>
        <w:rPr>
          <w:rFonts w:ascii="Arial" w:hAnsi="Arial" w:cs="Arial"/>
          <w:kern w:val="24"/>
          <w:sz w:val="22"/>
          <w:szCs w:val="22"/>
          <w:lang w:eastAsia="es-MX"/>
        </w:rPr>
      </w:pPr>
    </w:p>
    <w:p w:rsidR="000B79AB" w:rsidRPr="000B79AB" w:rsidRDefault="000B79AB" w:rsidP="000B79AB">
      <w:pPr>
        <w:pStyle w:val="Prrafodelista1"/>
        <w:tabs>
          <w:tab w:val="left" w:pos="284"/>
        </w:tabs>
        <w:ind w:left="0"/>
        <w:jc w:val="both"/>
        <w:rPr>
          <w:rFonts w:ascii="Arial" w:eastAsiaTheme="minorHAnsi" w:hAnsi="Arial" w:cs="Arial"/>
          <w:b/>
          <w:lang w:val="es-MX"/>
        </w:rPr>
      </w:pPr>
      <w:r w:rsidRPr="000B79AB">
        <w:rPr>
          <w:rFonts w:ascii="Arial" w:eastAsiaTheme="minorHAnsi" w:hAnsi="Arial" w:cs="Arial"/>
          <w:b/>
          <w:lang w:val="es-MX"/>
        </w:rPr>
        <w:t>Tabla 1. Proyectos financiados por el FONDO CIBIOGEM.</w:t>
      </w:r>
      <w:r w:rsidRPr="000B79AB">
        <w:rPr>
          <w:rFonts w:ascii="Arial" w:eastAsiaTheme="minorHAnsi" w:hAnsi="Arial" w:cs="Arial"/>
          <w:b/>
          <w:noProof/>
          <w:lang w:val="es-MX"/>
        </w:rPr>
        <w:t xml:space="preserve"> </w:t>
      </w:r>
    </w:p>
    <w:p w:rsidR="000B79AB" w:rsidRDefault="000B79AB" w:rsidP="000B79AB">
      <w:pPr>
        <w:pStyle w:val="Prrafodelista1"/>
        <w:tabs>
          <w:tab w:val="left" w:pos="1134"/>
        </w:tabs>
        <w:ind w:left="0"/>
        <w:jc w:val="both"/>
        <w:rPr>
          <w:rFonts w:ascii="Times New Roman" w:eastAsiaTheme="minorHAnsi" w:hAnsi="Times New Roman"/>
          <w:sz w:val="24"/>
          <w:szCs w:val="24"/>
          <w:lang w:val="es-MX"/>
        </w:rPr>
      </w:pPr>
    </w:p>
    <w:tbl>
      <w:tblPr>
        <w:tblW w:w="9395" w:type="dxa"/>
        <w:jc w:val="center"/>
        <w:tblInd w:w="-2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8"/>
        <w:gridCol w:w="1849"/>
        <w:gridCol w:w="1553"/>
        <w:gridCol w:w="2595"/>
      </w:tblGrid>
      <w:tr w:rsidR="000B79AB" w:rsidTr="000B79AB">
        <w:trPr>
          <w:trHeight w:val="702"/>
          <w:tblHeader/>
          <w:jc w:val="center"/>
        </w:trPr>
        <w:tc>
          <w:tcPr>
            <w:tcW w:w="3398"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0B79AB" w:rsidRDefault="000B79AB" w:rsidP="00727AA8">
            <w:pPr>
              <w:jc w:val="center"/>
              <w:rPr>
                <w:b/>
                <w:bCs/>
                <w:color w:val="FFFFFF"/>
                <w:sz w:val="18"/>
                <w:lang w:eastAsia="es-MX"/>
              </w:rPr>
            </w:pPr>
            <w:r>
              <w:rPr>
                <w:b/>
                <w:bCs/>
                <w:color w:val="FFFFFF"/>
                <w:sz w:val="18"/>
                <w:lang w:eastAsia="es-MX"/>
              </w:rPr>
              <w:t>Título del Proyecto apoyado</w:t>
            </w:r>
          </w:p>
        </w:tc>
        <w:tc>
          <w:tcPr>
            <w:tcW w:w="1849" w:type="dxa"/>
            <w:tcBorders>
              <w:top w:val="single" w:sz="4" w:space="0" w:color="auto"/>
              <w:left w:val="single" w:sz="4" w:space="0" w:color="auto"/>
              <w:bottom w:val="single" w:sz="4" w:space="0" w:color="auto"/>
              <w:right w:val="single" w:sz="4" w:space="0" w:color="auto"/>
            </w:tcBorders>
            <w:shd w:val="clear" w:color="auto" w:fill="1F497D"/>
            <w:hideMark/>
          </w:tcPr>
          <w:p w:rsidR="000B79AB" w:rsidRDefault="000B79AB" w:rsidP="00727AA8">
            <w:pPr>
              <w:jc w:val="center"/>
              <w:rPr>
                <w:b/>
                <w:bCs/>
                <w:color w:val="FFFFFF"/>
                <w:sz w:val="18"/>
                <w:lang w:eastAsia="es-MX"/>
              </w:rPr>
            </w:pPr>
            <w:r>
              <w:rPr>
                <w:b/>
                <w:bCs/>
                <w:color w:val="FFFFFF"/>
                <w:sz w:val="18"/>
                <w:lang w:eastAsia="es-MX"/>
              </w:rPr>
              <w:t xml:space="preserve">Institución Responsable del Proyecto </w:t>
            </w:r>
          </w:p>
        </w:tc>
        <w:tc>
          <w:tcPr>
            <w:tcW w:w="1553"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0B79AB" w:rsidRDefault="000B79AB" w:rsidP="00727AA8">
            <w:pPr>
              <w:jc w:val="center"/>
              <w:rPr>
                <w:b/>
                <w:bCs/>
                <w:color w:val="FFFFFF"/>
                <w:sz w:val="18"/>
                <w:lang w:eastAsia="es-MX"/>
              </w:rPr>
            </w:pPr>
            <w:r>
              <w:rPr>
                <w:b/>
                <w:bCs/>
                <w:color w:val="FFFFFF"/>
                <w:sz w:val="18"/>
                <w:lang w:eastAsia="es-MX"/>
              </w:rPr>
              <w:t>Monto del Proyecto formalizado</w:t>
            </w:r>
          </w:p>
        </w:tc>
        <w:tc>
          <w:tcPr>
            <w:tcW w:w="2595" w:type="dxa"/>
            <w:tcBorders>
              <w:top w:val="single" w:sz="4" w:space="0" w:color="auto"/>
              <w:left w:val="single" w:sz="4" w:space="0" w:color="auto"/>
              <w:bottom w:val="single" w:sz="4" w:space="0" w:color="auto"/>
              <w:right w:val="single" w:sz="4" w:space="0" w:color="auto"/>
            </w:tcBorders>
            <w:shd w:val="clear" w:color="auto" w:fill="1F497D"/>
            <w:vAlign w:val="center"/>
            <w:hideMark/>
          </w:tcPr>
          <w:p w:rsidR="000B79AB" w:rsidRDefault="000B79AB" w:rsidP="00727AA8">
            <w:pPr>
              <w:jc w:val="center"/>
              <w:rPr>
                <w:b/>
                <w:bCs/>
                <w:color w:val="FFFFFF"/>
                <w:sz w:val="18"/>
                <w:lang w:eastAsia="es-MX"/>
              </w:rPr>
            </w:pPr>
            <w:r>
              <w:rPr>
                <w:b/>
                <w:bCs/>
                <w:color w:val="FFFFFF"/>
                <w:sz w:val="18"/>
                <w:lang w:eastAsia="es-MX"/>
              </w:rPr>
              <w:t>Estatus</w:t>
            </w:r>
          </w:p>
        </w:tc>
      </w:tr>
      <w:tr w:rsidR="000B79AB" w:rsidTr="000B79AB">
        <w:trPr>
          <w:trHeight w:val="1127"/>
          <w:jc w:val="center"/>
        </w:trPr>
        <w:tc>
          <w:tcPr>
            <w:tcW w:w="3398"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jc w:val="both"/>
              <w:rPr>
                <w:bCs/>
                <w:color w:val="000000"/>
                <w:sz w:val="18"/>
                <w:lang w:eastAsia="es-MX"/>
              </w:rPr>
            </w:pPr>
            <w:r>
              <w:rPr>
                <w:bCs/>
                <w:color w:val="000000"/>
                <w:sz w:val="18"/>
                <w:lang w:eastAsia="es-MX"/>
              </w:rPr>
              <w:t>Diagnóstico de la diversidad genética de razas y variedades de maíz nativo, para la toma de decisiones y la evaluación de programas de conservación</w:t>
            </w:r>
          </w:p>
        </w:tc>
        <w:tc>
          <w:tcPr>
            <w:tcW w:w="1849" w:type="dxa"/>
            <w:tcBorders>
              <w:top w:val="single" w:sz="4" w:space="0" w:color="auto"/>
              <w:left w:val="single" w:sz="4" w:space="0" w:color="auto"/>
              <w:bottom w:val="single" w:sz="4" w:space="0" w:color="auto"/>
              <w:right w:val="single" w:sz="4" w:space="0" w:color="auto"/>
            </w:tcBorders>
            <w:hideMark/>
          </w:tcPr>
          <w:p w:rsidR="000B79AB" w:rsidRDefault="000B79AB" w:rsidP="00727AA8">
            <w:pPr>
              <w:jc w:val="center"/>
              <w:rPr>
                <w:bCs/>
                <w:color w:val="000000"/>
                <w:sz w:val="18"/>
                <w:lang w:eastAsia="es-MX"/>
              </w:rPr>
            </w:pPr>
            <w:r>
              <w:rPr>
                <w:bCs/>
                <w:color w:val="000000"/>
                <w:sz w:val="18"/>
                <w:lang w:eastAsia="es-MX"/>
              </w:rPr>
              <w:t>Centro de Investigación y de Estudios Avanzados del IPN, Unidad Irapuato.</w:t>
            </w:r>
          </w:p>
        </w:tc>
        <w:tc>
          <w:tcPr>
            <w:tcW w:w="1553" w:type="dxa"/>
            <w:tcBorders>
              <w:top w:val="single" w:sz="4" w:space="0" w:color="auto"/>
              <w:left w:val="single" w:sz="4" w:space="0" w:color="auto"/>
              <w:bottom w:val="single" w:sz="4" w:space="0" w:color="auto"/>
              <w:right w:val="single" w:sz="4" w:space="0" w:color="auto"/>
            </w:tcBorders>
            <w:noWrap/>
            <w:vAlign w:val="center"/>
            <w:hideMark/>
          </w:tcPr>
          <w:p w:rsidR="000B79AB" w:rsidRDefault="000B79AB" w:rsidP="00727AA8">
            <w:pPr>
              <w:jc w:val="center"/>
              <w:rPr>
                <w:color w:val="000000"/>
                <w:sz w:val="18"/>
                <w:lang w:eastAsia="es-MX"/>
              </w:rPr>
            </w:pPr>
            <w:r>
              <w:rPr>
                <w:color w:val="000000"/>
                <w:sz w:val="18"/>
                <w:lang w:eastAsia="es-MX"/>
              </w:rPr>
              <w:t>$11,778,577.00</w:t>
            </w:r>
          </w:p>
        </w:tc>
        <w:tc>
          <w:tcPr>
            <w:tcW w:w="2595"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spacing w:line="276" w:lineRule="auto"/>
              <w:jc w:val="both"/>
              <w:rPr>
                <w:color w:val="000000"/>
                <w:sz w:val="18"/>
                <w:lang w:eastAsia="es-MX"/>
              </w:rPr>
            </w:pPr>
            <w:r>
              <w:rPr>
                <w:color w:val="000000"/>
                <w:sz w:val="18"/>
                <w:lang w:eastAsia="es-MX"/>
              </w:rPr>
              <w:t>Línea Base. Proyecto concluido. (15.diciembre.2010 al 15.septiembre.2012)</w:t>
            </w:r>
          </w:p>
        </w:tc>
      </w:tr>
      <w:tr w:rsidR="000B79AB" w:rsidTr="000B79AB">
        <w:trPr>
          <w:trHeight w:val="676"/>
          <w:jc w:val="center"/>
        </w:trPr>
        <w:tc>
          <w:tcPr>
            <w:tcW w:w="3398"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jc w:val="both"/>
              <w:rPr>
                <w:bCs/>
                <w:color w:val="000000"/>
                <w:sz w:val="18"/>
                <w:lang w:eastAsia="es-MX"/>
              </w:rPr>
            </w:pPr>
            <w:r>
              <w:rPr>
                <w:bCs/>
                <w:color w:val="000000"/>
                <w:sz w:val="18"/>
                <w:lang w:eastAsia="es-MX"/>
              </w:rPr>
              <w:t>Plantas de maíz genéticamente modificadas con tolerancia a sequía.</w:t>
            </w:r>
          </w:p>
        </w:tc>
        <w:tc>
          <w:tcPr>
            <w:tcW w:w="1849" w:type="dxa"/>
            <w:tcBorders>
              <w:top w:val="single" w:sz="4" w:space="0" w:color="auto"/>
              <w:left w:val="single" w:sz="4" w:space="0" w:color="auto"/>
              <w:bottom w:val="single" w:sz="4" w:space="0" w:color="auto"/>
              <w:right w:val="single" w:sz="4" w:space="0" w:color="auto"/>
            </w:tcBorders>
          </w:tcPr>
          <w:p w:rsidR="000B79AB" w:rsidRDefault="000B79AB" w:rsidP="00727AA8">
            <w:pPr>
              <w:jc w:val="center"/>
              <w:rPr>
                <w:bCs/>
                <w:color w:val="000000"/>
                <w:sz w:val="18"/>
                <w:lang w:eastAsia="es-MX"/>
              </w:rPr>
            </w:pPr>
            <w:r>
              <w:rPr>
                <w:bCs/>
                <w:color w:val="000000"/>
                <w:sz w:val="18"/>
                <w:lang w:eastAsia="es-MX"/>
              </w:rPr>
              <w:t>Centro de Investigación y de Estudios Avanzados del IPN, Unidad Zacatenco.</w:t>
            </w:r>
          </w:p>
          <w:p w:rsidR="000B79AB" w:rsidRDefault="000B79AB" w:rsidP="00727AA8">
            <w:pPr>
              <w:jc w:val="center"/>
              <w:rPr>
                <w:bCs/>
                <w:color w:val="000000"/>
                <w:sz w:val="18"/>
                <w:lang w:eastAsia="es-MX"/>
              </w:rPr>
            </w:pPr>
          </w:p>
        </w:tc>
        <w:tc>
          <w:tcPr>
            <w:tcW w:w="1553" w:type="dxa"/>
            <w:tcBorders>
              <w:top w:val="single" w:sz="4" w:space="0" w:color="auto"/>
              <w:left w:val="single" w:sz="4" w:space="0" w:color="auto"/>
              <w:bottom w:val="single" w:sz="4" w:space="0" w:color="auto"/>
              <w:right w:val="single" w:sz="4" w:space="0" w:color="auto"/>
            </w:tcBorders>
            <w:noWrap/>
            <w:vAlign w:val="center"/>
            <w:hideMark/>
          </w:tcPr>
          <w:p w:rsidR="000B79AB" w:rsidRDefault="000B79AB" w:rsidP="00727AA8">
            <w:pPr>
              <w:jc w:val="center"/>
              <w:rPr>
                <w:color w:val="000000"/>
                <w:sz w:val="18"/>
                <w:lang w:eastAsia="es-MX"/>
              </w:rPr>
            </w:pPr>
            <w:r>
              <w:rPr>
                <w:color w:val="000000"/>
                <w:sz w:val="18"/>
                <w:lang w:eastAsia="es-MX"/>
              </w:rPr>
              <w:t>$3,086,000.00</w:t>
            </w:r>
          </w:p>
        </w:tc>
        <w:tc>
          <w:tcPr>
            <w:tcW w:w="2595"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spacing w:line="276" w:lineRule="auto"/>
              <w:jc w:val="both"/>
              <w:rPr>
                <w:color w:val="000000"/>
                <w:sz w:val="18"/>
                <w:lang w:eastAsia="es-MX"/>
              </w:rPr>
            </w:pPr>
            <w:r>
              <w:rPr>
                <w:color w:val="000000"/>
                <w:sz w:val="18"/>
                <w:lang w:eastAsia="es-MX"/>
              </w:rPr>
              <w:t xml:space="preserve">Biotecnología. Proyecto vigente (16.agosto.2011 al 31.julio.2014, SUSPENDIDO por efecto de las previsiones de la medida cautelar en respuesta a la demanda de acciones colectivas sobre derecho difuso). </w:t>
            </w:r>
          </w:p>
        </w:tc>
      </w:tr>
      <w:tr w:rsidR="000B79AB" w:rsidTr="000B79AB">
        <w:trPr>
          <w:trHeight w:val="687"/>
          <w:jc w:val="center"/>
        </w:trPr>
        <w:tc>
          <w:tcPr>
            <w:tcW w:w="3398"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jc w:val="both"/>
              <w:rPr>
                <w:bCs/>
                <w:color w:val="000000"/>
                <w:sz w:val="18"/>
                <w:lang w:eastAsia="es-MX"/>
              </w:rPr>
            </w:pPr>
            <w:r>
              <w:rPr>
                <w:bCs/>
                <w:color w:val="000000"/>
                <w:sz w:val="18"/>
                <w:lang w:eastAsia="es-MX"/>
              </w:rPr>
              <w:t xml:space="preserve">Cepa recombinante de </w:t>
            </w:r>
            <w:proofErr w:type="spellStart"/>
            <w:r>
              <w:rPr>
                <w:bCs/>
                <w:color w:val="000000"/>
                <w:sz w:val="18"/>
                <w:lang w:eastAsia="es-MX"/>
              </w:rPr>
              <w:t>granulovirus</w:t>
            </w:r>
            <w:proofErr w:type="spellEnd"/>
            <w:r>
              <w:rPr>
                <w:bCs/>
                <w:color w:val="000000"/>
                <w:sz w:val="18"/>
                <w:lang w:eastAsia="es-MX"/>
              </w:rPr>
              <w:t xml:space="preserve"> con mayor virulencia hacia el gusano falso medidor de la col.</w:t>
            </w:r>
          </w:p>
        </w:tc>
        <w:tc>
          <w:tcPr>
            <w:tcW w:w="1849" w:type="dxa"/>
            <w:tcBorders>
              <w:top w:val="single" w:sz="4" w:space="0" w:color="auto"/>
              <w:left w:val="single" w:sz="4" w:space="0" w:color="auto"/>
              <w:bottom w:val="single" w:sz="4" w:space="0" w:color="auto"/>
              <w:right w:val="single" w:sz="4" w:space="0" w:color="auto"/>
            </w:tcBorders>
            <w:hideMark/>
          </w:tcPr>
          <w:p w:rsidR="000B79AB" w:rsidRDefault="000B79AB" w:rsidP="00727AA8">
            <w:pPr>
              <w:jc w:val="center"/>
              <w:rPr>
                <w:bCs/>
                <w:color w:val="000000"/>
                <w:sz w:val="18"/>
                <w:lang w:eastAsia="es-MX"/>
              </w:rPr>
            </w:pPr>
            <w:r>
              <w:rPr>
                <w:bCs/>
                <w:color w:val="000000"/>
                <w:sz w:val="18"/>
                <w:lang w:eastAsia="es-MX"/>
              </w:rPr>
              <w:t>Centro de Investigación y de Estudios Avanzados del IPN, Unidad Irapuato</w:t>
            </w:r>
          </w:p>
        </w:tc>
        <w:tc>
          <w:tcPr>
            <w:tcW w:w="1553" w:type="dxa"/>
            <w:tcBorders>
              <w:top w:val="single" w:sz="4" w:space="0" w:color="auto"/>
              <w:left w:val="single" w:sz="4" w:space="0" w:color="auto"/>
              <w:bottom w:val="single" w:sz="4" w:space="0" w:color="auto"/>
              <w:right w:val="single" w:sz="4" w:space="0" w:color="auto"/>
            </w:tcBorders>
            <w:noWrap/>
            <w:vAlign w:val="center"/>
            <w:hideMark/>
          </w:tcPr>
          <w:p w:rsidR="000B79AB" w:rsidRDefault="000B79AB" w:rsidP="00727AA8">
            <w:pPr>
              <w:jc w:val="center"/>
              <w:rPr>
                <w:color w:val="000000"/>
                <w:sz w:val="18"/>
                <w:lang w:eastAsia="es-MX"/>
              </w:rPr>
            </w:pPr>
            <w:r>
              <w:rPr>
                <w:color w:val="000000"/>
                <w:sz w:val="18"/>
                <w:lang w:eastAsia="es-MX"/>
              </w:rPr>
              <w:t>$2,500,000.00</w:t>
            </w:r>
          </w:p>
        </w:tc>
        <w:tc>
          <w:tcPr>
            <w:tcW w:w="2595"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spacing w:line="276" w:lineRule="auto"/>
              <w:jc w:val="both"/>
              <w:rPr>
                <w:color w:val="000000"/>
                <w:sz w:val="18"/>
                <w:lang w:eastAsia="es-MX"/>
              </w:rPr>
            </w:pPr>
            <w:r>
              <w:rPr>
                <w:color w:val="000000"/>
                <w:sz w:val="18"/>
                <w:lang w:eastAsia="es-MX"/>
              </w:rPr>
              <w:t xml:space="preserve">Biotecnología. Proyecto vigente. (12.julio.2011 al 30.junio.2015). </w:t>
            </w:r>
          </w:p>
        </w:tc>
      </w:tr>
      <w:tr w:rsidR="000B79AB" w:rsidTr="000B79AB">
        <w:trPr>
          <w:trHeight w:val="838"/>
          <w:jc w:val="center"/>
        </w:trPr>
        <w:tc>
          <w:tcPr>
            <w:tcW w:w="3398"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jc w:val="both"/>
              <w:rPr>
                <w:bCs/>
                <w:color w:val="000000"/>
                <w:sz w:val="18"/>
                <w:lang w:eastAsia="es-MX"/>
              </w:rPr>
            </w:pPr>
            <w:r w:rsidRPr="00712291">
              <w:rPr>
                <w:bCs/>
                <w:color w:val="000000"/>
                <w:sz w:val="18"/>
                <w:lang w:val="en-US" w:eastAsia="es-MX"/>
              </w:rPr>
              <w:t>Frijol (</w:t>
            </w:r>
            <w:proofErr w:type="spellStart"/>
            <w:r w:rsidRPr="00712291">
              <w:rPr>
                <w:bCs/>
                <w:i/>
                <w:color w:val="000000"/>
                <w:sz w:val="18"/>
                <w:lang w:val="en-US" w:eastAsia="es-MX"/>
              </w:rPr>
              <w:t>Phaseolus</w:t>
            </w:r>
            <w:proofErr w:type="spellEnd"/>
            <w:r w:rsidRPr="00712291">
              <w:rPr>
                <w:bCs/>
                <w:i/>
                <w:color w:val="000000"/>
                <w:sz w:val="18"/>
                <w:lang w:val="en-US" w:eastAsia="es-MX"/>
              </w:rPr>
              <w:t xml:space="preserve"> vulgaris L</w:t>
            </w:r>
            <w:r w:rsidRPr="00712291">
              <w:rPr>
                <w:bCs/>
                <w:color w:val="000000"/>
                <w:sz w:val="18"/>
                <w:lang w:val="en-US" w:eastAsia="es-MX"/>
              </w:rPr>
              <w:t xml:space="preserve">.) cv. </w:t>
            </w:r>
            <w:r>
              <w:rPr>
                <w:bCs/>
                <w:color w:val="000000"/>
                <w:sz w:val="18"/>
                <w:lang w:eastAsia="es-MX"/>
              </w:rPr>
              <w:t xml:space="preserve">Flor de Mayo Anita con tolerancia de amplio espectro a hongos </w:t>
            </w:r>
            <w:proofErr w:type="spellStart"/>
            <w:r>
              <w:rPr>
                <w:bCs/>
                <w:color w:val="000000"/>
                <w:sz w:val="18"/>
                <w:lang w:eastAsia="es-MX"/>
              </w:rPr>
              <w:t>fitopatógenos</w:t>
            </w:r>
            <w:proofErr w:type="spellEnd"/>
            <w:r>
              <w:rPr>
                <w:bCs/>
                <w:color w:val="000000"/>
                <w:sz w:val="18"/>
                <w:lang w:eastAsia="es-MX"/>
              </w:rPr>
              <w:t>.</w:t>
            </w:r>
          </w:p>
        </w:tc>
        <w:tc>
          <w:tcPr>
            <w:tcW w:w="1849" w:type="dxa"/>
            <w:tcBorders>
              <w:top w:val="single" w:sz="4" w:space="0" w:color="auto"/>
              <w:left w:val="single" w:sz="4" w:space="0" w:color="auto"/>
              <w:bottom w:val="single" w:sz="4" w:space="0" w:color="auto"/>
              <w:right w:val="single" w:sz="4" w:space="0" w:color="auto"/>
            </w:tcBorders>
            <w:hideMark/>
          </w:tcPr>
          <w:p w:rsidR="000B79AB" w:rsidRDefault="000B79AB" w:rsidP="00727AA8">
            <w:pPr>
              <w:jc w:val="center"/>
              <w:rPr>
                <w:bCs/>
                <w:color w:val="000000"/>
                <w:sz w:val="18"/>
                <w:lang w:eastAsia="es-MX"/>
              </w:rPr>
            </w:pPr>
            <w:r>
              <w:rPr>
                <w:bCs/>
                <w:color w:val="000000"/>
                <w:sz w:val="18"/>
                <w:lang w:eastAsia="es-MX"/>
              </w:rPr>
              <w:t>Instituto Nacional de Investigaciones Forestales, Agrícolas y Pecuarias (INIFAP).</w:t>
            </w:r>
          </w:p>
        </w:tc>
        <w:tc>
          <w:tcPr>
            <w:tcW w:w="1553" w:type="dxa"/>
            <w:tcBorders>
              <w:top w:val="single" w:sz="4" w:space="0" w:color="auto"/>
              <w:left w:val="single" w:sz="4" w:space="0" w:color="auto"/>
              <w:bottom w:val="single" w:sz="4" w:space="0" w:color="auto"/>
              <w:right w:val="single" w:sz="4" w:space="0" w:color="auto"/>
            </w:tcBorders>
            <w:noWrap/>
            <w:vAlign w:val="center"/>
            <w:hideMark/>
          </w:tcPr>
          <w:p w:rsidR="000B79AB" w:rsidRDefault="000B79AB" w:rsidP="00727AA8">
            <w:pPr>
              <w:jc w:val="center"/>
              <w:rPr>
                <w:color w:val="000000"/>
                <w:sz w:val="18"/>
                <w:lang w:eastAsia="es-MX"/>
              </w:rPr>
            </w:pPr>
            <w:r>
              <w:rPr>
                <w:color w:val="000000"/>
                <w:sz w:val="18"/>
                <w:lang w:eastAsia="es-MX"/>
              </w:rPr>
              <w:t>$1,226,000.00</w:t>
            </w:r>
          </w:p>
        </w:tc>
        <w:tc>
          <w:tcPr>
            <w:tcW w:w="2595"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spacing w:line="276" w:lineRule="auto"/>
              <w:jc w:val="both"/>
              <w:rPr>
                <w:color w:val="000000"/>
                <w:sz w:val="18"/>
                <w:lang w:eastAsia="es-MX"/>
              </w:rPr>
            </w:pPr>
            <w:r>
              <w:rPr>
                <w:color w:val="000000"/>
                <w:sz w:val="18"/>
                <w:lang w:eastAsia="es-MX"/>
              </w:rPr>
              <w:t xml:space="preserve">Biotecnología. Proyecto Vigente, (01.julio.2011 al 31.agosto.2015). </w:t>
            </w:r>
          </w:p>
        </w:tc>
      </w:tr>
      <w:tr w:rsidR="000B79AB" w:rsidTr="000B79AB">
        <w:trPr>
          <w:trHeight w:val="680"/>
          <w:jc w:val="center"/>
        </w:trPr>
        <w:tc>
          <w:tcPr>
            <w:tcW w:w="3398"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jc w:val="both"/>
              <w:rPr>
                <w:bCs/>
                <w:color w:val="000000"/>
                <w:sz w:val="18"/>
                <w:lang w:eastAsia="es-MX"/>
              </w:rPr>
            </w:pPr>
            <w:r>
              <w:rPr>
                <w:bCs/>
                <w:color w:val="000000"/>
                <w:sz w:val="18"/>
                <w:lang w:eastAsia="es-MX"/>
              </w:rPr>
              <w:lastRenderedPageBreak/>
              <w:t>Análisis de sensibilidad y resistencia de lepidópteros asociados al cultivo de algodón transgénico</w:t>
            </w:r>
          </w:p>
        </w:tc>
        <w:tc>
          <w:tcPr>
            <w:tcW w:w="1849" w:type="dxa"/>
            <w:tcBorders>
              <w:top w:val="single" w:sz="4" w:space="0" w:color="auto"/>
              <w:left w:val="single" w:sz="4" w:space="0" w:color="auto"/>
              <w:bottom w:val="single" w:sz="4" w:space="0" w:color="auto"/>
              <w:right w:val="single" w:sz="4" w:space="0" w:color="auto"/>
            </w:tcBorders>
            <w:hideMark/>
          </w:tcPr>
          <w:p w:rsidR="000B79AB" w:rsidRDefault="000B79AB" w:rsidP="00727AA8">
            <w:pPr>
              <w:jc w:val="center"/>
              <w:rPr>
                <w:bCs/>
                <w:color w:val="000000"/>
                <w:sz w:val="18"/>
                <w:lang w:eastAsia="es-MX"/>
              </w:rPr>
            </w:pPr>
            <w:r>
              <w:rPr>
                <w:bCs/>
                <w:color w:val="000000"/>
                <w:sz w:val="18"/>
                <w:lang w:eastAsia="es-MX"/>
              </w:rPr>
              <w:t>.</w:t>
            </w:r>
          </w:p>
          <w:p w:rsidR="000B79AB" w:rsidRDefault="000B79AB" w:rsidP="00727AA8">
            <w:pPr>
              <w:jc w:val="center"/>
              <w:rPr>
                <w:bCs/>
                <w:color w:val="000000"/>
                <w:sz w:val="18"/>
                <w:lang w:eastAsia="es-MX"/>
              </w:rPr>
            </w:pPr>
            <w:r>
              <w:rPr>
                <w:bCs/>
                <w:color w:val="000000"/>
                <w:sz w:val="18"/>
                <w:lang w:eastAsia="es-MX"/>
              </w:rPr>
              <w:t xml:space="preserve">Instituto de Biotecnología, Universidad Autónoma de Nuevo León. </w:t>
            </w:r>
          </w:p>
        </w:tc>
        <w:tc>
          <w:tcPr>
            <w:tcW w:w="1553" w:type="dxa"/>
            <w:tcBorders>
              <w:top w:val="single" w:sz="4" w:space="0" w:color="auto"/>
              <w:left w:val="single" w:sz="4" w:space="0" w:color="auto"/>
              <w:bottom w:val="single" w:sz="4" w:space="0" w:color="auto"/>
              <w:right w:val="single" w:sz="4" w:space="0" w:color="auto"/>
            </w:tcBorders>
            <w:noWrap/>
            <w:vAlign w:val="center"/>
            <w:hideMark/>
          </w:tcPr>
          <w:p w:rsidR="000B79AB" w:rsidRDefault="000B79AB" w:rsidP="00727AA8">
            <w:pPr>
              <w:jc w:val="center"/>
              <w:rPr>
                <w:color w:val="000000"/>
                <w:sz w:val="18"/>
                <w:lang w:eastAsia="es-MX"/>
              </w:rPr>
            </w:pPr>
            <w:r>
              <w:rPr>
                <w:color w:val="000000"/>
                <w:sz w:val="18"/>
                <w:lang w:eastAsia="es-MX"/>
              </w:rPr>
              <w:t>$1,047,000.00</w:t>
            </w:r>
          </w:p>
        </w:tc>
        <w:tc>
          <w:tcPr>
            <w:tcW w:w="2595"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spacing w:line="276" w:lineRule="auto"/>
              <w:rPr>
                <w:color w:val="000000"/>
                <w:sz w:val="18"/>
                <w:lang w:eastAsia="es-MX"/>
              </w:rPr>
            </w:pPr>
            <w:r>
              <w:rPr>
                <w:color w:val="000000"/>
                <w:sz w:val="18"/>
                <w:lang w:eastAsia="es-MX"/>
              </w:rPr>
              <w:t xml:space="preserve">Bioseguridad. Proyecto vigente. (12.marzo.2012 al 16.marzo.2015) </w:t>
            </w:r>
          </w:p>
        </w:tc>
      </w:tr>
      <w:tr w:rsidR="000B79AB" w:rsidTr="000B79AB">
        <w:trPr>
          <w:trHeight w:val="834"/>
          <w:jc w:val="center"/>
        </w:trPr>
        <w:tc>
          <w:tcPr>
            <w:tcW w:w="3398"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jc w:val="both"/>
              <w:rPr>
                <w:bCs/>
                <w:color w:val="000000"/>
                <w:sz w:val="18"/>
                <w:lang w:eastAsia="es-MX"/>
              </w:rPr>
            </w:pPr>
            <w:r>
              <w:rPr>
                <w:bCs/>
                <w:color w:val="000000"/>
                <w:sz w:val="18"/>
                <w:lang w:eastAsia="es-MX"/>
              </w:rPr>
              <w:t>Costos y beneficios de los cultivos genéticamente modificados en México: un análisis de equilibrio general</w:t>
            </w:r>
          </w:p>
        </w:tc>
        <w:tc>
          <w:tcPr>
            <w:tcW w:w="1849" w:type="dxa"/>
            <w:tcBorders>
              <w:top w:val="single" w:sz="4" w:space="0" w:color="auto"/>
              <w:left w:val="single" w:sz="4" w:space="0" w:color="auto"/>
              <w:bottom w:val="single" w:sz="4" w:space="0" w:color="auto"/>
              <w:right w:val="single" w:sz="4" w:space="0" w:color="auto"/>
            </w:tcBorders>
          </w:tcPr>
          <w:p w:rsidR="000B79AB" w:rsidRDefault="000B79AB" w:rsidP="00727AA8">
            <w:pPr>
              <w:jc w:val="center"/>
              <w:rPr>
                <w:bCs/>
                <w:color w:val="000000"/>
                <w:sz w:val="18"/>
                <w:lang w:eastAsia="es-MX"/>
              </w:rPr>
            </w:pPr>
            <w:r>
              <w:rPr>
                <w:bCs/>
                <w:color w:val="000000"/>
                <w:sz w:val="18"/>
                <w:lang w:eastAsia="es-MX"/>
              </w:rPr>
              <w:t>Departamento de Economía, Universidad Autónoma de Yucatán.</w:t>
            </w:r>
          </w:p>
          <w:p w:rsidR="000B79AB" w:rsidRDefault="000B79AB" w:rsidP="00727AA8">
            <w:pPr>
              <w:jc w:val="center"/>
              <w:rPr>
                <w:bCs/>
                <w:color w:val="000000"/>
                <w:sz w:val="18"/>
                <w:lang w:eastAsia="es-MX"/>
              </w:rPr>
            </w:pPr>
          </w:p>
        </w:tc>
        <w:tc>
          <w:tcPr>
            <w:tcW w:w="1553" w:type="dxa"/>
            <w:tcBorders>
              <w:top w:val="single" w:sz="4" w:space="0" w:color="auto"/>
              <w:left w:val="single" w:sz="4" w:space="0" w:color="auto"/>
              <w:bottom w:val="single" w:sz="4" w:space="0" w:color="auto"/>
              <w:right w:val="single" w:sz="4" w:space="0" w:color="auto"/>
            </w:tcBorders>
            <w:noWrap/>
            <w:vAlign w:val="center"/>
            <w:hideMark/>
          </w:tcPr>
          <w:p w:rsidR="000B79AB" w:rsidRDefault="000B79AB" w:rsidP="00727AA8">
            <w:pPr>
              <w:jc w:val="center"/>
              <w:rPr>
                <w:color w:val="000000"/>
                <w:sz w:val="18"/>
                <w:lang w:eastAsia="es-MX"/>
              </w:rPr>
            </w:pPr>
            <w:r>
              <w:rPr>
                <w:color w:val="000000"/>
                <w:sz w:val="18"/>
                <w:lang w:eastAsia="es-MX"/>
              </w:rPr>
              <w:t>$1,050,002.00</w:t>
            </w:r>
          </w:p>
        </w:tc>
        <w:tc>
          <w:tcPr>
            <w:tcW w:w="2595"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spacing w:line="276" w:lineRule="auto"/>
              <w:jc w:val="both"/>
              <w:rPr>
                <w:color w:val="000000"/>
                <w:sz w:val="18"/>
                <w:lang w:eastAsia="es-MX"/>
              </w:rPr>
            </w:pPr>
            <w:r>
              <w:rPr>
                <w:color w:val="000000"/>
                <w:sz w:val="18"/>
                <w:lang w:eastAsia="es-MX"/>
              </w:rPr>
              <w:t xml:space="preserve">Bioseguridad. Proyecto vigente. (21.mayo.2012 a abril 2015). </w:t>
            </w:r>
          </w:p>
        </w:tc>
      </w:tr>
      <w:tr w:rsidR="000B79AB" w:rsidTr="000B79AB">
        <w:trPr>
          <w:trHeight w:val="1115"/>
          <w:jc w:val="center"/>
        </w:trPr>
        <w:tc>
          <w:tcPr>
            <w:tcW w:w="3398"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jc w:val="both"/>
              <w:rPr>
                <w:bCs/>
                <w:color w:val="000000"/>
                <w:sz w:val="18"/>
                <w:lang w:eastAsia="es-MX"/>
              </w:rPr>
            </w:pPr>
            <w:r>
              <w:rPr>
                <w:bCs/>
                <w:color w:val="000000"/>
                <w:sz w:val="18"/>
                <w:lang w:eastAsia="es-MX"/>
              </w:rPr>
              <w:t>Impactos Sociales, económicos y culturales de la posible introducción de maíz y otras especies genéticamente modificadas en México</w:t>
            </w:r>
          </w:p>
        </w:tc>
        <w:tc>
          <w:tcPr>
            <w:tcW w:w="1849" w:type="dxa"/>
            <w:tcBorders>
              <w:top w:val="single" w:sz="4" w:space="0" w:color="auto"/>
              <w:left w:val="single" w:sz="4" w:space="0" w:color="auto"/>
              <w:bottom w:val="single" w:sz="4" w:space="0" w:color="auto"/>
              <w:right w:val="single" w:sz="4" w:space="0" w:color="auto"/>
            </w:tcBorders>
            <w:hideMark/>
          </w:tcPr>
          <w:p w:rsidR="000B79AB" w:rsidRDefault="000B79AB" w:rsidP="00727AA8">
            <w:pPr>
              <w:jc w:val="center"/>
              <w:rPr>
                <w:color w:val="000000"/>
                <w:sz w:val="18"/>
                <w:lang w:eastAsia="es-MX"/>
              </w:rPr>
            </w:pPr>
            <w:r>
              <w:rPr>
                <w:bCs/>
                <w:color w:val="000000"/>
                <w:sz w:val="18"/>
                <w:lang w:eastAsia="es-MX"/>
              </w:rPr>
              <w:t>Departamento de Sociología, Universidad Autónoma Metropolitana</w:t>
            </w:r>
          </w:p>
        </w:tc>
        <w:tc>
          <w:tcPr>
            <w:tcW w:w="1553" w:type="dxa"/>
            <w:tcBorders>
              <w:top w:val="single" w:sz="4" w:space="0" w:color="auto"/>
              <w:left w:val="single" w:sz="4" w:space="0" w:color="auto"/>
              <w:bottom w:val="single" w:sz="4" w:space="0" w:color="auto"/>
              <w:right w:val="single" w:sz="4" w:space="0" w:color="auto"/>
            </w:tcBorders>
            <w:noWrap/>
            <w:vAlign w:val="center"/>
            <w:hideMark/>
          </w:tcPr>
          <w:p w:rsidR="000B79AB" w:rsidRDefault="000B79AB" w:rsidP="00727AA8">
            <w:pPr>
              <w:jc w:val="center"/>
              <w:rPr>
                <w:color w:val="000000"/>
                <w:sz w:val="18"/>
                <w:lang w:eastAsia="es-MX"/>
              </w:rPr>
            </w:pPr>
            <w:r>
              <w:rPr>
                <w:color w:val="000000"/>
                <w:sz w:val="18"/>
                <w:lang w:eastAsia="es-MX"/>
              </w:rPr>
              <w:t>$1,211,931.60</w:t>
            </w:r>
          </w:p>
        </w:tc>
        <w:tc>
          <w:tcPr>
            <w:tcW w:w="2595"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spacing w:line="276" w:lineRule="auto"/>
              <w:jc w:val="both"/>
              <w:rPr>
                <w:color w:val="000000"/>
                <w:sz w:val="18"/>
                <w:lang w:eastAsia="es-MX"/>
              </w:rPr>
            </w:pPr>
            <w:r>
              <w:rPr>
                <w:color w:val="000000"/>
                <w:sz w:val="18"/>
                <w:lang w:eastAsia="es-MX"/>
              </w:rPr>
              <w:t xml:space="preserve">Bioseguridad. Proyecto concluido. </w:t>
            </w:r>
          </w:p>
        </w:tc>
      </w:tr>
      <w:tr w:rsidR="000B79AB" w:rsidTr="000B79AB">
        <w:trPr>
          <w:trHeight w:val="1528"/>
          <w:jc w:val="center"/>
        </w:trPr>
        <w:tc>
          <w:tcPr>
            <w:tcW w:w="3398"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jc w:val="both"/>
              <w:rPr>
                <w:bCs/>
                <w:color w:val="000000"/>
                <w:sz w:val="18"/>
                <w:lang w:eastAsia="es-MX"/>
              </w:rPr>
            </w:pPr>
            <w:r>
              <w:rPr>
                <w:bCs/>
                <w:color w:val="000000"/>
                <w:sz w:val="18"/>
                <w:lang w:eastAsia="es-MX"/>
              </w:rPr>
              <w:t>Determinación y cuantificación de granos de polen de soya (</w:t>
            </w:r>
            <w:proofErr w:type="spellStart"/>
            <w:r>
              <w:rPr>
                <w:bCs/>
                <w:i/>
                <w:color w:val="000000"/>
                <w:sz w:val="18"/>
                <w:lang w:eastAsia="es-MX"/>
              </w:rPr>
              <w:t>Glycine</w:t>
            </w:r>
            <w:proofErr w:type="spellEnd"/>
            <w:r>
              <w:rPr>
                <w:bCs/>
                <w:i/>
                <w:color w:val="000000"/>
                <w:sz w:val="18"/>
                <w:lang w:eastAsia="es-MX"/>
              </w:rPr>
              <w:t xml:space="preserve"> </w:t>
            </w:r>
            <w:proofErr w:type="spellStart"/>
            <w:r>
              <w:rPr>
                <w:bCs/>
                <w:i/>
                <w:color w:val="000000"/>
                <w:sz w:val="18"/>
                <w:lang w:eastAsia="es-MX"/>
              </w:rPr>
              <w:t>max</w:t>
            </w:r>
            <w:proofErr w:type="spellEnd"/>
            <w:r>
              <w:rPr>
                <w:bCs/>
                <w:i/>
                <w:color w:val="000000"/>
                <w:sz w:val="18"/>
                <w:lang w:eastAsia="es-MX"/>
              </w:rPr>
              <w:t xml:space="preserve"> L</w:t>
            </w:r>
            <w:r>
              <w:rPr>
                <w:bCs/>
                <w:color w:val="000000"/>
                <w:sz w:val="18"/>
                <w:lang w:eastAsia="es-MX"/>
              </w:rPr>
              <w:t>.) en miel de abeja (</w:t>
            </w:r>
            <w:r>
              <w:rPr>
                <w:bCs/>
                <w:i/>
                <w:color w:val="000000"/>
                <w:sz w:val="18"/>
                <w:lang w:eastAsia="es-MX"/>
              </w:rPr>
              <w:t xml:space="preserve">Apis </w:t>
            </w:r>
            <w:proofErr w:type="spellStart"/>
            <w:r>
              <w:rPr>
                <w:bCs/>
                <w:i/>
                <w:color w:val="000000"/>
                <w:sz w:val="18"/>
                <w:lang w:eastAsia="es-MX"/>
              </w:rPr>
              <w:t>mellifera</w:t>
            </w:r>
            <w:proofErr w:type="spellEnd"/>
            <w:r>
              <w:rPr>
                <w:bCs/>
                <w:color w:val="000000"/>
                <w:sz w:val="18"/>
                <w:lang w:eastAsia="es-MX"/>
              </w:rPr>
              <w:t xml:space="preserve">) y su relación con el comportamiento de éstas, en áreas de cultivo cercanas a </w:t>
            </w:r>
            <w:proofErr w:type="spellStart"/>
            <w:r>
              <w:rPr>
                <w:bCs/>
                <w:color w:val="000000"/>
                <w:sz w:val="18"/>
                <w:lang w:eastAsia="es-MX"/>
              </w:rPr>
              <w:t>apiarios</w:t>
            </w:r>
            <w:proofErr w:type="spellEnd"/>
            <w:r>
              <w:rPr>
                <w:bCs/>
                <w:color w:val="000000"/>
                <w:sz w:val="18"/>
                <w:lang w:eastAsia="es-MX"/>
              </w:rPr>
              <w:t xml:space="preserve"> de la península de Yucatán</w:t>
            </w:r>
          </w:p>
        </w:tc>
        <w:tc>
          <w:tcPr>
            <w:tcW w:w="1849" w:type="dxa"/>
            <w:tcBorders>
              <w:top w:val="single" w:sz="4" w:space="0" w:color="auto"/>
              <w:left w:val="single" w:sz="4" w:space="0" w:color="auto"/>
              <w:bottom w:val="single" w:sz="4" w:space="0" w:color="auto"/>
              <w:right w:val="single" w:sz="4" w:space="0" w:color="auto"/>
            </w:tcBorders>
          </w:tcPr>
          <w:p w:rsidR="000B79AB" w:rsidRDefault="000B79AB" w:rsidP="00727AA8">
            <w:pPr>
              <w:jc w:val="center"/>
              <w:rPr>
                <w:bCs/>
                <w:color w:val="000000"/>
                <w:sz w:val="18"/>
                <w:lang w:eastAsia="es-MX"/>
              </w:rPr>
            </w:pPr>
            <w:r>
              <w:rPr>
                <w:bCs/>
                <w:color w:val="000000"/>
                <w:sz w:val="18"/>
                <w:lang w:eastAsia="es-MX"/>
              </w:rPr>
              <w:t>Facultad de Medicina Veterinaria y Zootecnia, Universidad Autónoma de Yucatán.</w:t>
            </w:r>
          </w:p>
          <w:p w:rsidR="000B79AB" w:rsidRDefault="000B79AB" w:rsidP="00727AA8">
            <w:pPr>
              <w:jc w:val="center"/>
              <w:rPr>
                <w:color w:val="000000"/>
                <w:sz w:val="18"/>
                <w:lang w:eastAsia="es-MX"/>
              </w:rPr>
            </w:pPr>
          </w:p>
        </w:tc>
        <w:tc>
          <w:tcPr>
            <w:tcW w:w="1553" w:type="dxa"/>
            <w:tcBorders>
              <w:top w:val="single" w:sz="4" w:space="0" w:color="auto"/>
              <w:left w:val="single" w:sz="4" w:space="0" w:color="auto"/>
              <w:bottom w:val="single" w:sz="4" w:space="0" w:color="auto"/>
              <w:right w:val="single" w:sz="4" w:space="0" w:color="auto"/>
            </w:tcBorders>
            <w:noWrap/>
            <w:vAlign w:val="center"/>
            <w:hideMark/>
          </w:tcPr>
          <w:p w:rsidR="000B79AB" w:rsidRDefault="000B79AB" w:rsidP="00727AA8">
            <w:pPr>
              <w:jc w:val="center"/>
              <w:rPr>
                <w:color w:val="000000"/>
                <w:sz w:val="18"/>
                <w:lang w:eastAsia="es-MX"/>
              </w:rPr>
            </w:pPr>
            <w:r>
              <w:rPr>
                <w:color w:val="000000"/>
                <w:sz w:val="18"/>
                <w:lang w:eastAsia="es-MX"/>
              </w:rPr>
              <w:t>$2,194,800.00</w:t>
            </w:r>
          </w:p>
        </w:tc>
        <w:tc>
          <w:tcPr>
            <w:tcW w:w="2595" w:type="dxa"/>
            <w:tcBorders>
              <w:top w:val="single" w:sz="4" w:space="0" w:color="auto"/>
              <w:left w:val="single" w:sz="4" w:space="0" w:color="auto"/>
              <w:bottom w:val="single" w:sz="4" w:space="0" w:color="auto"/>
              <w:right w:val="single" w:sz="4" w:space="0" w:color="auto"/>
            </w:tcBorders>
            <w:vAlign w:val="center"/>
            <w:hideMark/>
          </w:tcPr>
          <w:p w:rsidR="000B79AB" w:rsidRDefault="000B79AB" w:rsidP="00727AA8">
            <w:pPr>
              <w:spacing w:line="276" w:lineRule="auto"/>
              <w:jc w:val="both"/>
              <w:rPr>
                <w:color w:val="000000"/>
                <w:sz w:val="18"/>
                <w:lang w:eastAsia="es-MX"/>
              </w:rPr>
            </w:pPr>
            <w:r>
              <w:rPr>
                <w:color w:val="000000"/>
                <w:sz w:val="18"/>
                <w:lang w:eastAsia="es-MX"/>
              </w:rPr>
              <w:t xml:space="preserve">Bioseguridad. Proyecto concluido. </w:t>
            </w:r>
          </w:p>
        </w:tc>
      </w:tr>
    </w:tbl>
    <w:p w:rsidR="000B79AB" w:rsidRDefault="000B79AB" w:rsidP="000B79AB">
      <w:pPr>
        <w:jc w:val="both"/>
        <w:rPr>
          <w:rFonts w:ascii="Arial" w:hAnsi="Arial" w:cs="Arial"/>
          <w:kern w:val="24"/>
          <w:sz w:val="22"/>
          <w:szCs w:val="22"/>
          <w:lang w:eastAsia="es-MX"/>
        </w:rPr>
      </w:pPr>
    </w:p>
    <w:p w:rsidR="00ED2F0C" w:rsidRPr="005F094E" w:rsidRDefault="00ED2F0C" w:rsidP="005F094E">
      <w:pPr>
        <w:jc w:val="both"/>
        <w:rPr>
          <w:rFonts w:ascii="Arial" w:hAnsi="Arial" w:cs="Arial"/>
        </w:rPr>
      </w:pPr>
    </w:p>
    <w:p w:rsidR="005F094E" w:rsidRPr="00CB2DCF" w:rsidRDefault="00E167CF" w:rsidP="005F094E">
      <w:pPr>
        <w:jc w:val="both"/>
        <w:rPr>
          <w:rFonts w:ascii="Arial" w:hAnsi="Arial" w:cs="Arial"/>
          <w:b/>
          <w:bCs/>
          <w:sz w:val="22"/>
          <w:szCs w:val="22"/>
        </w:rPr>
      </w:pPr>
      <w:r w:rsidRPr="00E167CF">
        <w:rPr>
          <w:rFonts w:ascii="Arial" w:hAnsi="Arial" w:cs="Arial"/>
          <w:b/>
          <w:bCs/>
          <w:sz w:val="22"/>
          <w:szCs w:val="22"/>
        </w:rPr>
        <w:t xml:space="preserve">OBJETIVO GENERAL </w:t>
      </w:r>
      <w:r w:rsidR="00E41B08" w:rsidRPr="00CB2DCF">
        <w:rPr>
          <w:rFonts w:ascii="Arial" w:hAnsi="Arial" w:cs="Arial"/>
          <w:b/>
          <w:bCs/>
          <w:sz w:val="22"/>
          <w:szCs w:val="22"/>
        </w:rPr>
        <w:t xml:space="preserve">2. </w:t>
      </w:r>
      <w:r w:rsidR="005F094E" w:rsidRPr="00CB2DCF">
        <w:rPr>
          <w:rFonts w:ascii="Arial" w:hAnsi="Arial" w:cs="Arial"/>
          <w:b/>
          <w:bCs/>
          <w:sz w:val="22"/>
          <w:szCs w:val="22"/>
        </w:rPr>
        <w:t xml:space="preserve">INFORMACIÓN Y DIFUSIÓN </w:t>
      </w:r>
    </w:p>
    <w:p w:rsidR="005F094E" w:rsidRPr="00CB2DCF" w:rsidRDefault="005F094E" w:rsidP="005F094E">
      <w:pPr>
        <w:jc w:val="both"/>
        <w:rPr>
          <w:rFonts w:ascii="Arial" w:hAnsi="Arial" w:cs="Arial"/>
          <w:sz w:val="22"/>
          <w:szCs w:val="22"/>
        </w:rPr>
      </w:pPr>
      <w:r w:rsidRPr="00CB2DCF">
        <w:rPr>
          <w:rFonts w:ascii="Arial" w:hAnsi="Arial" w:cs="Arial"/>
          <w:sz w:val="22"/>
          <w:szCs w:val="22"/>
        </w:rPr>
        <w:t>Como parte de las acciones concretas a desarrollar para este objetivo se mencionan a continuación algunas de las actividades asociadas a Medios de Distribución Escrita, Electrónica, Presencial, entre los que destacan los siguientes:</w:t>
      </w:r>
    </w:p>
    <w:p w:rsidR="005F094E" w:rsidRPr="00CB2DCF" w:rsidRDefault="005F094E" w:rsidP="005F094E">
      <w:pPr>
        <w:jc w:val="both"/>
        <w:rPr>
          <w:rFonts w:ascii="Arial" w:hAnsi="Arial" w:cs="Arial"/>
          <w:b/>
          <w:bCs/>
          <w:sz w:val="22"/>
          <w:szCs w:val="22"/>
        </w:rPr>
      </w:pPr>
    </w:p>
    <w:p w:rsidR="005F094E" w:rsidRPr="00CB2DCF" w:rsidRDefault="005F094E" w:rsidP="005F094E">
      <w:pPr>
        <w:jc w:val="both"/>
        <w:rPr>
          <w:rFonts w:ascii="Arial" w:hAnsi="Arial" w:cs="Arial"/>
          <w:b/>
          <w:bCs/>
          <w:sz w:val="22"/>
          <w:szCs w:val="22"/>
        </w:rPr>
      </w:pPr>
      <w:r w:rsidRPr="00CB2DCF">
        <w:rPr>
          <w:rFonts w:ascii="Arial" w:hAnsi="Arial" w:cs="Arial"/>
          <w:b/>
          <w:bCs/>
          <w:sz w:val="22"/>
          <w:szCs w:val="22"/>
        </w:rPr>
        <w:t>Información en Medios Electrónicos</w:t>
      </w:r>
    </w:p>
    <w:p w:rsidR="005F094E" w:rsidRPr="00CB2DCF" w:rsidRDefault="005F094E" w:rsidP="005F094E">
      <w:pPr>
        <w:jc w:val="both"/>
        <w:rPr>
          <w:rFonts w:ascii="Arial" w:hAnsi="Arial" w:cs="Arial"/>
          <w:b/>
          <w:bCs/>
          <w:sz w:val="22"/>
          <w:szCs w:val="22"/>
        </w:rPr>
      </w:pPr>
    </w:p>
    <w:p w:rsidR="005F094E" w:rsidRPr="00CB2DCF" w:rsidRDefault="005F094E" w:rsidP="005F094E">
      <w:pPr>
        <w:jc w:val="both"/>
        <w:rPr>
          <w:rFonts w:ascii="Arial" w:hAnsi="Arial" w:cs="Arial"/>
          <w:b/>
          <w:bCs/>
          <w:sz w:val="22"/>
          <w:szCs w:val="22"/>
        </w:rPr>
      </w:pPr>
      <w:r w:rsidRPr="00CB2DCF">
        <w:rPr>
          <w:rFonts w:ascii="Arial" w:hAnsi="Arial" w:cs="Arial"/>
          <w:b/>
          <w:bCs/>
          <w:sz w:val="22"/>
          <w:szCs w:val="22"/>
        </w:rPr>
        <w:t>I. Centro de Intercambio de Información sobre Bioseguridad (CIISB)</w:t>
      </w:r>
    </w:p>
    <w:p w:rsidR="005F094E" w:rsidRPr="00CB2DCF" w:rsidRDefault="005F094E" w:rsidP="005F094E">
      <w:pPr>
        <w:jc w:val="both"/>
        <w:rPr>
          <w:rFonts w:ascii="Arial" w:hAnsi="Arial" w:cs="Arial"/>
          <w:b/>
          <w:bCs/>
          <w:sz w:val="22"/>
          <w:szCs w:val="22"/>
        </w:rPr>
      </w:pPr>
    </w:p>
    <w:p w:rsidR="000B79AB" w:rsidRPr="00843C20" w:rsidRDefault="000B79AB" w:rsidP="000B79AB">
      <w:pPr>
        <w:jc w:val="both"/>
        <w:rPr>
          <w:rFonts w:ascii="Arial" w:hAnsi="Arial" w:cs="Arial"/>
          <w:sz w:val="22"/>
        </w:rPr>
      </w:pPr>
      <w:r w:rsidRPr="00843C20">
        <w:rPr>
          <w:rFonts w:ascii="Arial" w:eastAsia="Calibri" w:hAnsi="Arial" w:cs="Arial"/>
          <w:bCs/>
          <w:sz w:val="22"/>
          <w:lang w:eastAsia="en-US"/>
        </w:rPr>
        <w:t xml:space="preserve">En </w:t>
      </w:r>
      <w:r w:rsidRPr="00843C20">
        <w:rPr>
          <w:rFonts w:ascii="Arial" w:hAnsi="Arial" w:cs="Arial"/>
          <w:sz w:val="22"/>
        </w:rPr>
        <w:t xml:space="preserve">relación a la actualización del CIISB, la Secretaría Ejecutiva de la CIBIOGEM participó en el “Workshop </w:t>
      </w:r>
      <w:proofErr w:type="spellStart"/>
      <w:r w:rsidRPr="00843C20">
        <w:rPr>
          <w:rFonts w:ascii="Arial" w:hAnsi="Arial" w:cs="Arial"/>
          <w:sz w:val="22"/>
        </w:rPr>
        <w:t>on</w:t>
      </w:r>
      <w:proofErr w:type="spellEnd"/>
      <w:r w:rsidRPr="00843C20">
        <w:rPr>
          <w:rFonts w:ascii="Arial" w:hAnsi="Arial" w:cs="Arial"/>
          <w:sz w:val="22"/>
        </w:rPr>
        <w:t xml:space="preserve"> </w:t>
      </w:r>
      <w:proofErr w:type="spellStart"/>
      <w:r w:rsidRPr="00843C20">
        <w:rPr>
          <w:rFonts w:ascii="Arial" w:hAnsi="Arial" w:cs="Arial"/>
          <w:sz w:val="22"/>
        </w:rPr>
        <w:t>Biosafety</w:t>
      </w:r>
      <w:proofErr w:type="spellEnd"/>
      <w:r w:rsidRPr="00843C20">
        <w:rPr>
          <w:rFonts w:ascii="Arial" w:hAnsi="Arial" w:cs="Arial"/>
          <w:sz w:val="22"/>
        </w:rPr>
        <w:t xml:space="preserve"> </w:t>
      </w:r>
      <w:proofErr w:type="spellStart"/>
      <w:r w:rsidRPr="00843C20">
        <w:rPr>
          <w:rFonts w:ascii="Arial" w:hAnsi="Arial" w:cs="Arial"/>
          <w:sz w:val="22"/>
        </w:rPr>
        <w:t>Clearing</w:t>
      </w:r>
      <w:proofErr w:type="spellEnd"/>
      <w:r w:rsidRPr="00843C20">
        <w:rPr>
          <w:rFonts w:ascii="Arial" w:hAnsi="Arial" w:cs="Arial"/>
          <w:sz w:val="22"/>
        </w:rPr>
        <w:t xml:space="preserve"> </w:t>
      </w:r>
      <w:proofErr w:type="spellStart"/>
      <w:r w:rsidRPr="00843C20">
        <w:rPr>
          <w:rFonts w:ascii="Arial" w:hAnsi="Arial" w:cs="Arial"/>
          <w:sz w:val="22"/>
        </w:rPr>
        <w:t>House</w:t>
      </w:r>
      <w:proofErr w:type="spellEnd"/>
      <w:r w:rsidRPr="00843C20">
        <w:rPr>
          <w:rFonts w:ascii="Arial" w:hAnsi="Arial" w:cs="Arial"/>
          <w:sz w:val="22"/>
        </w:rPr>
        <w:t xml:space="preserve">” durante los días 26 y 27 de septiembre en Corea. Adicionalmente, se actualizó la información en el perfil de México. </w:t>
      </w:r>
    </w:p>
    <w:p w:rsidR="000B79AB" w:rsidRPr="00843C20" w:rsidRDefault="000B79AB" w:rsidP="000B79AB">
      <w:pPr>
        <w:pStyle w:val="Prrafodelista"/>
        <w:ind w:left="0"/>
        <w:jc w:val="both"/>
        <w:rPr>
          <w:rFonts w:cs="Arial"/>
          <w:bCs/>
          <w:sz w:val="22"/>
          <w:szCs w:val="20"/>
        </w:rPr>
      </w:pPr>
      <w:r w:rsidRPr="00843C20">
        <w:rPr>
          <w:rFonts w:cs="Arial"/>
          <w:bCs/>
          <w:sz w:val="22"/>
          <w:szCs w:val="20"/>
        </w:rPr>
        <w:t>La siguiente tabla recopila los registros de información y la fecha de actualización de los mismos en el perfil de México a diciembre de 2014:</w:t>
      </w:r>
    </w:p>
    <w:p w:rsidR="000B79AB" w:rsidRDefault="000B79AB" w:rsidP="000B79AB">
      <w:pPr>
        <w:pStyle w:val="Prrafodelista"/>
        <w:ind w:left="0"/>
        <w:jc w:val="both"/>
        <w:rPr>
          <w:rFonts w:ascii="Arial Narrow" w:hAnsi="Arial Narrow" w:cs="Arial"/>
        </w:rPr>
      </w:pPr>
    </w:p>
    <w:tbl>
      <w:tblPr>
        <w:tblW w:w="3268" w:type="pct"/>
        <w:tblCellSpacing w:w="0" w:type="dxa"/>
        <w:tblInd w:w="1766" w:type="dxa"/>
        <w:tblCellMar>
          <w:top w:w="15" w:type="dxa"/>
          <w:left w:w="15" w:type="dxa"/>
          <w:bottom w:w="15" w:type="dxa"/>
          <w:right w:w="15" w:type="dxa"/>
        </w:tblCellMar>
        <w:tblLook w:val="04A0" w:firstRow="1" w:lastRow="0" w:firstColumn="1" w:lastColumn="0" w:noHBand="0" w:noVBand="1"/>
      </w:tblPr>
      <w:tblGrid>
        <w:gridCol w:w="3134"/>
        <w:gridCol w:w="1155"/>
        <w:gridCol w:w="1537"/>
      </w:tblGrid>
      <w:tr w:rsidR="000B79AB" w:rsidRPr="00DB0220" w:rsidTr="00727AA8">
        <w:trPr>
          <w:tblCellSpacing w:w="0" w:type="dxa"/>
        </w:trPr>
        <w:tc>
          <w:tcPr>
            <w:tcW w:w="2690" w:type="pct"/>
            <w:tcBorders>
              <w:top w:val="single" w:sz="6" w:space="0" w:color="6A6C99"/>
              <w:bottom w:val="single" w:sz="6" w:space="0" w:color="6A6C99"/>
            </w:tcBorders>
            <w:shd w:val="clear" w:color="auto" w:fill="F5F5F5"/>
            <w:vAlign w:val="center"/>
          </w:tcPr>
          <w:p w:rsidR="000B79AB" w:rsidRPr="00DB0220" w:rsidRDefault="000B79AB" w:rsidP="00727AA8">
            <w:pPr>
              <w:rPr>
                <w:rFonts w:ascii="Arial Narrow" w:hAnsi="Arial Narrow"/>
                <w:b/>
                <w:bCs/>
                <w:color w:val="000080"/>
                <w:sz w:val="17"/>
                <w:szCs w:val="17"/>
              </w:rPr>
            </w:pPr>
            <w:r w:rsidRPr="00DB0220">
              <w:rPr>
                <w:rFonts w:ascii="Arial Narrow" w:hAnsi="Arial Narrow"/>
                <w:b/>
                <w:bCs/>
                <w:color w:val="000080"/>
                <w:sz w:val="17"/>
                <w:szCs w:val="17"/>
              </w:rPr>
              <w:t>Tipo de documento</w:t>
            </w:r>
          </w:p>
        </w:tc>
        <w:tc>
          <w:tcPr>
            <w:tcW w:w="991" w:type="pct"/>
            <w:tcBorders>
              <w:top w:val="single" w:sz="6" w:space="0" w:color="6A6C99"/>
              <w:bottom w:val="single" w:sz="6" w:space="0" w:color="6A6C99"/>
            </w:tcBorders>
            <w:shd w:val="clear" w:color="auto" w:fill="F5F5F5"/>
            <w:tcMar>
              <w:top w:w="15" w:type="dxa"/>
              <w:left w:w="60" w:type="dxa"/>
              <w:bottom w:w="15" w:type="dxa"/>
              <w:right w:w="60" w:type="dxa"/>
            </w:tcMar>
            <w:vAlign w:val="center"/>
            <w:hideMark/>
          </w:tcPr>
          <w:p w:rsidR="000B79AB" w:rsidRPr="00DB0220" w:rsidRDefault="000B79AB" w:rsidP="00727AA8">
            <w:pPr>
              <w:rPr>
                <w:rFonts w:ascii="Arial Narrow" w:hAnsi="Arial Narrow"/>
                <w:b/>
                <w:bCs/>
                <w:color w:val="000080"/>
                <w:sz w:val="17"/>
                <w:szCs w:val="17"/>
              </w:rPr>
            </w:pPr>
            <w:r w:rsidRPr="00DB0220">
              <w:rPr>
                <w:rFonts w:ascii="Arial Narrow" w:hAnsi="Arial Narrow"/>
                <w:b/>
                <w:bCs/>
                <w:color w:val="000080"/>
                <w:sz w:val="17"/>
                <w:szCs w:val="17"/>
              </w:rPr>
              <w:t>Cantidad de registros</w:t>
            </w:r>
          </w:p>
        </w:tc>
        <w:tc>
          <w:tcPr>
            <w:tcW w:w="1319" w:type="pct"/>
            <w:tcBorders>
              <w:top w:val="single" w:sz="6" w:space="0" w:color="6A6C99"/>
              <w:bottom w:val="single" w:sz="6" w:space="0" w:color="6A6C99"/>
            </w:tcBorders>
            <w:shd w:val="clear" w:color="auto" w:fill="F5F5F5"/>
            <w:tcMar>
              <w:top w:w="15" w:type="dxa"/>
              <w:left w:w="60" w:type="dxa"/>
              <w:bottom w:w="15" w:type="dxa"/>
              <w:right w:w="60" w:type="dxa"/>
            </w:tcMar>
            <w:vAlign w:val="center"/>
            <w:hideMark/>
          </w:tcPr>
          <w:p w:rsidR="000B79AB" w:rsidRPr="00DB0220" w:rsidRDefault="000B79AB" w:rsidP="00727AA8">
            <w:pPr>
              <w:rPr>
                <w:rFonts w:ascii="Arial Narrow" w:hAnsi="Arial Narrow"/>
                <w:b/>
                <w:bCs/>
                <w:color w:val="000080"/>
                <w:sz w:val="17"/>
                <w:szCs w:val="17"/>
              </w:rPr>
            </w:pPr>
            <w:r w:rsidRPr="00DB0220">
              <w:rPr>
                <w:rFonts w:ascii="Arial Narrow" w:hAnsi="Arial Narrow"/>
                <w:b/>
                <w:bCs/>
                <w:color w:val="000080"/>
                <w:sz w:val="17"/>
                <w:szCs w:val="17"/>
              </w:rPr>
              <w:t>Fecha de la última actualización</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456DE8" w:rsidP="00727AA8">
            <w:pPr>
              <w:rPr>
                <w:rFonts w:ascii="Arial Narrow" w:hAnsi="Arial Narrow"/>
                <w:color w:val="505050"/>
                <w:sz w:val="17"/>
                <w:szCs w:val="17"/>
              </w:rPr>
            </w:pPr>
            <w:hyperlink r:id="rId9" w:history="1">
              <w:r w:rsidR="000B79AB" w:rsidRPr="00DB0220">
                <w:rPr>
                  <w:rStyle w:val="Hipervnculo"/>
                  <w:rFonts w:ascii="Arial Narrow" w:hAnsi="Arial Narrow"/>
                  <w:sz w:val="17"/>
                  <w:szCs w:val="17"/>
                </w:rPr>
                <w:t>Autoridad Nacional Competente</w:t>
              </w:r>
            </w:hyperlink>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3</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2014-09-19</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456DE8" w:rsidP="00727AA8">
            <w:pPr>
              <w:rPr>
                <w:rFonts w:ascii="Arial Narrow" w:hAnsi="Arial Narrow"/>
                <w:color w:val="505050"/>
                <w:sz w:val="17"/>
                <w:szCs w:val="17"/>
              </w:rPr>
            </w:pPr>
            <w:hyperlink r:id="rId10" w:history="1">
              <w:r w:rsidR="000B79AB" w:rsidRPr="00DB0220">
                <w:rPr>
                  <w:rStyle w:val="Hipervnculo"/>
                  <w:rFonts w:ascii="Arial Narrow" w:hAnsi="Arial Narrow"/>
                  <w:sz w:val="17"/>
                  <w:szCs w:val="17"/>
                </w:rPr>
                <w:t>Decisión del país o cualquier otra Comunicación</w:t>
              </w:r>
            </w:hyperlink>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164</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2014-10-08</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456DE8" w:rsidP="00727AA8">
            <w:pPr>
              <w:rPr>
                <w:rFonts w:ascii="Arial Narrow" w:hAnsi="Arial Narrow"/>
                <w:color w:val="505050"/>
                <w:sz w:val="17"/>
                <w:szCs w:val="17"/>
              </w:rPr>
            </w:pPr>
            <w:hyperlink r:id="rId11" w:history="1">
              <w:r w:rsidR="000B79AB" w:rsidRPr="00DB0220">
                <w:rPr>
                  <w:rStyle w:val="Hipervnculo"/>
                  <w:rFonts w:ascii="Arial Narrow" w:hAnsi="Arial Narrow"/>
                  <w:sz w:val="17"/>
                  <w:szCs w:val="17"/>
                </w:rPr>
                <w:t>Evaluación del riesgo</w:t>
              </w:r>
            </w:hyperlink>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141</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2014-10-08</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456DE8" w:rsidP="00727AA8">
            <w:pPr>
              <w:rPr>
                <w:rFonts w:ascii="Arial Narrow" w:hAnsi="Arial Narrow"/>
                <w:color w:val="505050"/>
                <w:sz w:val="17"/>
                <w:szCs w:val="17"/>
              </w:rPr>
            </w:pPr>
            <w:hyperlink r:id="rId12" w:history="1">
              <w:r w:rsidR="000B79AB" w:rsidRPr="00DB0220">
                <w:rPr>
                  <w:rStyle w:val="Hipervnculo"/>
                  <w:rFonts w:ascii="Arial Narrow" w:hAnsi="Arial Narrow"/>
                  <w:sz w:val="17"/>
                  <w:szCs w:val="17"/>
                </w:rPr>
                <w:t>Experto en la Seguridad de la Biotecnología</w:t>
              </w:r>
            </w:hyperlink>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3</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2012-08-06</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Informe sobre la Adjudicación</w:t>
            </w:r>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0</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456DE8" w:rsidP="00727AA8">
            <w:pPr>
              <w:rPr>
                <w:rFonts w:ascii="Arial Narrow" w:hAnsi="Arial Narrow"/>
                <w:color w:val="505050"/>
                <w:sz w:val="17"/>
                <w:szCs w:val="17"/>
              </w:rPr>
            </w:pPr>
            <w:hyperlink r:id="rId13" w:history="1">
              <w:r w:rsidR="000B79AB" w:rsidRPr="00DB0220">
                <w:rPr>
                  <w:rStyle w:val="Hipervnculo"/>
                  <w:rFonts w:ascii="Arial Narrow" w:hAnsi="Arial Narrow"/>
                  <w:sz w:val="17"/>
                  <w:szCs w:val="17"/>
                </w:rPr>
                <w:t>Ley, Reglamento o Directriz</w:t>
              </w:r>
            </w:hyperlink>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19</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2014-09-09</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456DE8" w:rsidP="00727AA8">
            <w:pPr>
              <w:rPr>
                <w:rFonts w:ascii="Arial Narrow" w:hAnsi="Arial Narrow"/>
                <w:color w:val="505050"/>
                <w:sz w:val="17"/>
                <w:szCs w:val="17"/>
              </w:rPr>
            </w:pPr>
            <w:hyperlink r:id="rId14" w:history="1">
              <w:r w:rsidR="000B79AB" w:rsidRPr="00DB0220">
                <w:rPr>
                  <w:rStyle w:val="Hipervnculo"/>
                  <w:rFonts w:ascii="Arial Narrow" w:hAnsi="Arial Narrow"/>
                  <w:sz w:val="17"/>
                  <w:szCs w:val="17"/>
                </w:rPr>
                <w:t>Necesidades y Prioridades de Capacitación</w:t>
              </w:r>
            </w:hyperlink>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1</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2010-05-19</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456DE8" w:rsidP="00727AA8">
            <w:pPr>
              <w:rPr>
                <w:rFonts w:ascii="Arial Narrow" w:hAnsi="Arial Narrow"/>
                <w:color w:val="505050"/>
                <w:sz w:val="17"/>
                <w:szCs w:val="17"/>
              </w:rPr>
            </w:pPr>
            <w:hyperlink r:id="rId15" w:history="1">
              <w:r w:rsidR="000B79AB" w:rsidRPr="00DB0220">
                <w:rPr>
                  <w:rStyle w:val="Hipervnculo"/>
                  <w:rFonts w:ascii="Arial Narrow" w:hAnsi="Arial Narrow"/>
                  <w:sz w:val="17"/>
                  <w:szCs w:val="17"/>
                </w:rPr>
                <w:t>Noticias</w:t>
              </w:r>
            </w:hyperlink>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9</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2014-11-07</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456DE8" w:rsidP="00727AA8">
            <w:pPr>
              <w:rPr>
                <w:rFonts w:ascii="Arial Narrow" w:hAnsi="Arial Narrow"/>
                <w:color w:val="505050"/>
                <w:sz w:val="17"/>
                <w:szCs w:val="17"/>
              </w:rPr>
            </w:pPr>
            <w:hyperlink r:id="rId16" w:history="1">
              <w:r w:rsidR="000B79AB" w:rsidRPr="00DB0220">
                <w:rPr>
                  <w:rStyle w:val="Hipervnculo"/>
                  <w:rFonts w:ascii="Arial Narrow" w:hAnsi="Arial Narrow"/>
                  <w:sz w:val="17"/>
                  <w:szCs w:val="17"/>
                </w:rPr>
                <w:t>Página Web o Base de Datos Nacional</w:t>
              </w:r>
            </w:hyperlink>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1</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2014-09-06</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456DE8" w:rsidP="00727AA8">
            <w:pPr>
              <w:rPr>
                <w:rFonts w:ascii="Arial Narrow" w:hAnsi="Arial Narrow"/>
                <w:color w:val="505050"/>
                <w:sz w:val="17"/>
                <w:szCs w:val="17"/>
              </w:rPr>
            </w:pPr>
            <w:hyperlink r:id="rId17" w:history="1">
              <w:r w:rsidR="000B79AB" w:rsidRPr="00DB0220">
                <w:rPr>
                  <w:rStyle w:val="Hipervnculo"/>
                  <w:rFonts w:ascii="Arial Narrow" w:hAnsi="Arial Narrow"/>
                  <w:sz w:val="17"/>
                  <w:szCs w:val="17"/>
                </w:rPr>
                <w:t>Punto Focal Nacional</w:t>
              </w:r>
            </w:hyperlink>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2014-08-22</w:t>
            </w:r>
          </w:p>
        </w:tc>
      </w:tr>
      <w:tr w:rsidR="000B79AB" w:rsidRPr="00DB0220" w:rsidTr="00727AA8">
        <w:trPr>
          <w:tblCellSpacing w:w="0" w:type="dxa"/>
        </w:trPr>
        <w:tc>
          <w:tcPr>
            <w:tcW w:w="2690" w:type="pct"/>
            <w:tcBorders>
              <w:bottom w:val="single" w:sz="6" w:space="0" w:color="E8E8E8"/>
            </w:tcBorders>
            <w:noWrap/>
            <w:tcMar>
              <w:top w:w="15" w:type="dxa"/>
              <w:left w:w="60" w:type="dxa"/>
              <w:bottom w:w="15" w:type="dxa"/>
              <w:right w:w="15" w:type="dxa"/>
            </w:tcMar>
            <w:vAlign w:val="center"/>
            <w:hideMark/>
          </w:tcPr>
          <w:p w:rsidR="000B79AB" w:rsidRPr="00DB0220" w:rsidRDefault="00456DE8" w:rsidP="00727AA8">
            <w:pPr>
              <w:rPr>
                <w:rFonts w:ascii="Arial Narrow" w:hAnsi="Arial Narrow"/>
                <w:color w:val="505050"/>
                <w:sz w:val="17"/>
                <w:szCs w:val="17"/>
                <w:lang w:val="en-US"/>
              </w:rPr>
            </w:pPr>
            <w:hyperlink r:id="rId18" w:anchor="natrep" w:history="1">
              <w:r w:rsidR="000B79AB" w:rsidRPr="00DB0220">
                <w:rPr>
                  <w:rStyle w:val="Hipervnculo"/>
                  <w:rFonts w:ascii="Arial Narrow" w:hAnsi="Arial Narrow"/>
                  <w:sz w:val="17"/>
                  <w:szCs w:val="17"/>
                  <w:lang w:val="en-US"/>
                </w:rPr>
                <w:t>Reports on Implementation of the Protocol</w:t>
              </w:r>
            </w:hyperlink>
          </w:p>
        </w:tc>
        <w:tc>
          <w:tcPr>
            <w:tcW w:w="991"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w:t>
            </w:r>
          </w:p>
        </w:tc>
        <w:tc>
          <w:tcPr>
            <w:tcW w:w="1319" w:type="pct"/>
            <w:tcBorders>
              <w:bottom w:val="single" w:sz="6" w:space="0" w:color="E8E8E8"/>
            </w:tcBorders>
            <w:noWrap/>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2011-09-30</w:t>
            </w:r>
          </w:p>
        </w:tc>
      </w:tr>
      <w:tr w:rsidR="000B79AB" w:rsidRPr="00DB0220" w:rsidTr="00727AA8">
        <w:trPr>
          <w:tblCellSpacing w:w="0" w:type="dxa"/>
        </w:trPr>
        <w:tc>
          <w:tcPr>
            <w:tcW w:w="2690" w:type="pct"/>
            <w:tcBorders>
              <w:bottom w:val="single" w:sz="6" w:space="0" w:color="E8E8E8"/>
            </w:tcBorders>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Cantidad total de registros</w:t>
            </w:r>
          </w:p>
        </w:tc>
        <w:tc>
          <w:tcPr>
            <w:tcW w:w="991" w:type="pct"/>
            <w:tcBorders>
              <w:bottom w:val="single" w:sz="6" w:space="0" w:color="E8E8E8"/>
            </w:tcBorders>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345</w:t>
            </w:r>
          </w:p>
        </w:tc>
        <w:tc>
          <w:tcPr>
            <w:tcW w:w="1319" w:type="pct"/>
            <w:tcBorders>
              <w:bottom w:val="single" w:sz="6" w:space="0" w:color="E8E8E8"/>
            </w:tcBorders>
            <w:tcMar>
              <w:top w:w="15" w:type="dxa"/>
              <w:left w:w="60" w:type="dxa"/>
              <w:bottom w:w="15" w:type="dxa"/>
              <w:right w:w="15" w:type="dxa"/>
            </w:tcMar>
            <w:vAlign w:val="center"/>
            <w:hideMark/>
          </w:tcPr>
          <w:p w:rsidR="000B79AB" w:rsidRPr="00DB0220" w:rsidRDefault="000B79AB" w:rsidP="00727AA8">
            <w:pPr>
              <w:rPr>
                <w:rFonts w:ascii="Arial Narrow" w:hAnsi="Arial Narrow"/>
                <w:color w:val="505050"/>
                <w:sz w:val="17"/>
                <w:szCs w:val="17"/>
              </w:rPr>
            </w:pPr>
            <w:r w:rsidRPr="00DB0220">
              <w:rPr>
                <w:rFonts w:ascii="Arial Narrow" w:hAnsi="Arial Narrow"/>
                <w:color w:val="505050"/>
                <w:sz w:val="17"/>
                <w:szCs w:val="17"/>
              </w:rPr>
              <w:t> </w:t>
            </w:r>
          </w:p>
        </w:tc>
      </w:tr>
    </w:tbl>
    <w:p w:rsidR="005F094E" w:rsidRPr="00CB2DCF" w:rsidRDefault="005F094E" w:rsidP="005F094E">
      <w:pPr>
        <w:jc w:val="both"/>
        <w:rPr>
          <w:rFonts w:ascii="Arial" w:hAnsi="Arial" w:cs="Arial"/>
          <w:sz w:val="22"/>
          <w:szCs w:val="22"/>
        </w:rPr>
      </w:pPr>
    </w:p>
    <w:p w:rsidR="005F094E" w:rsidRPr="00CB2DCF" w:rsidRDefault="005F094E" w:rsidP="005F094E">
      <w:pPr>
        <w:jc w:val="both"/>
        <w:rPr>
          <w:rFonts w:ascii="Arial" w:hAnsi="Arial" w:cs="Arial"/>
          <w:b/>
          <w:sz w:val="22"/>
          <w:szCs w:val="22"/>
        </w:rPr>
      </w:pPr>
      <w:r w:rsidRPr="00CB2DCF">
        <w:rPr>
          <w:rFonts w:ascii="Arial" w:hAnsi="Arial" w:cs="Arial"/>
          <w:b/>
          <w:sz w:val="22"/>
          <w:szCs w:val="22"/>
        </w:rPr>
        <w:t>II. Sistema Nacional de Información sobre Bioseguridad</w:t>
      </w:r>
    </w:p>
    <w:p w:rsidR="005F094E" w:rsidRPr="00CB2DCF" w:rsidRDefault="005F094E" w:rsidP="005F094E">
      <w:pPr>
        <w:jc w:val="both"/>
        <w:rPr>
          <w:rFonts w:ascii="Arial" w:hAnsi="Arial" w:cs="Arial"/>
          <w:sz w:val="22"/>
          <w:szCs w:val="22"/>
        </w:rPr>
      </w:pPr>
      <w:r w:rsidRPr="00CB2DCF">
        <w:rPr>
          <w:rFonts w:ascii="Arial" w:hAnsi="Arial" w:cs="Arial"/>
          <w:sz w:val="22"/>
          <w:szCs w:val="22"/>
        </w:rPr>
        <w:t>El Sistema Nacional de Información sobre Bioseguridad tiene por objeto organizar, actualizar y difundir la información relacionada, como la que se presenta a continuación:</w:t>
      </w:r>
    </w:p>
    <w:p w:rsidR="005F094E" w:rsidRPr="00CB2DCF" w:rsidRDefault="005F094E" w:rsidP="005F094E">
      <w:pPr>
        <w:jc w:val="both"/>
        <w:rPr>
          <w:rFonts w:ascii="Arial" w:hAnsi="Arial" w:cs="Arial"/>
          <w:b/>
          <w:bCs/>
          <w:sz w:val="22"/>
          <w:szCs w:val="22"/>
        </w:rPr>
      </w:pPr>
    </w:p>
    <w:p w:rsidR="005F094E" w:rsidRPr="00CB2DCF" w:rsidRDefault="005F094E" w:rsidP="005F094E">
      <w:pPr>
        <w:ind w:left="708"/>
        <w:jc w:val="both"/>
        <w:rPr>
          <w:rFonts w:ascii="Arial" w:hAnsi="Arial" w:cs="Arial"/>
          <w:b/>
          <w:sz w:val="22"/>
          <w:szCs w:val="22"/>
          <w:u w:val="single"/>
        </w:rPr>
      </w:pPr>
      <w:r w:rsidRPr="00CB2DCF">
        <w:rPr>
          <w:rFonts w:ascii="Arial" w:hAnsi="Arial" w:cs="Arial"/>
          <w:b/>
          <w:sz w:val="22"/>
          <w:szCs w:val="22"/>
          <w:u w:val="single"/>
        </w:rPr>
        <w:t>Registro Nacional de Organismos Genéticamente Modificados</w:t>
      </w:r>
    </w:p>
    <w:p w:rsidR="005F094E" w:rsidRPr="00CB2DCF" w:rsidRDefault="005F094E" w:rsidP="005F094E">
      <w:pPr>
        <w:jc w:val="both"/>
        <w:rPr>
          <w:rFonts w:ascii="Arial" w:hAnsi="Arial" w:cs="Arial"/>
          <w:b/>
          <w:bCs/>
          <w:sz w:val="22"/>
          <w:szCs w:val="22"/>
        </w:rPr>
      </w:pPr>
    </w:p>
    <w:p w:rsidR="000B79AB" w:rsidRPr="000B79AB" w:rsidRDefault="000B79AB" w:rsidP="000B79AB">
      <w:pPr>
        <w:jc w:val="both"/>
        <w:rPr>
          <w:rFonts w:ascii="Arial" w:hAnsi="Arial" w:cs="Arial"/>
          <w:sz w:val="22"/>
          <w:szCs w:val="22"/>
        </w:rPr>
      </w:pPr>
      <w:r w:rsidRPr="000B79AB">
        <w:rPr>
          <w:rFonts w:ascii="Arial" w:hAnsi="Arial" w:cs="Arial"/>
          <w:sz w:val="22"/>
          <w:szCs w:val="22"/>
        </w:rPr>
        <w:t xml:space="preserve">En lo que respecta a las solicitudes de permiso de liberación al ambiente de los </w:t>
      </w:r>
      <w:proofErr w:type="spellStart"/>
      <w:r w:rsidRPr="000B79AB">
        <w:rPr>
          <w:rFonts w:ascii="Arial" w:hAnsi="Arial" w:cs="Arial"/>
          <w:sz w:val="22"/>
          <w:szCs w:val="22"/>
        </w:rPr>
        <w:t>OGMs</w:t>
      </w:r>
      <w:proofErr w:type="spellEnd"/>
      <w:r w:rsidRPr="000B79AB">
        <w:rPr>
          <w:rFonts w:ascii="Arial" w:hAnsi="Arial" w:cs="Arial"/>
          <w:sz w:val="22"/>
          <w:szCs w:val="22"/>
        </w:rPr>
        <w:t xml:space="preserve">, de enero a diciembre de 2014 se recibieron </w:t>
      </w:r>
      <w:r w:rsidR="00104108">
        <w:rPr>
          <w:rFonts w:ascii="Arial" w:hAnsi="Arial" w:cs="Arial"/>
          <w:sz w:val="22"/>
          <w:szCs w:val="22"/>
        </w:rPr>
        <w:t>44</w:t>
      </w:r>
      <w:r w:rsidRPr="000B79AB">
        <w:rPr>
          <w:rFonts w:ascii="Arial" w:hAnsi="Arial" w:cs="Arial"/>
          <w:sz w:val="22"/>
          <w:szCs w:val="22"/>
        </w:rPr>
        <w:t xml:space="preserve"> solicitudes y </w:t>
      </w:r>
      <w:r w:rsidR="00104108">
        <w:rPr>
          <w:rFonts w:ascii="Arial" w:hAnsi="Arial" w:cs="Arial"/>
          <w:sz w:val="22"/>
          <w:szCs w:val="22"/>
        </w:rPr>
        <w:t xml:space="preserve">hasta el </w:t>
      </w:r>
      <w:proofErr w:type="spellStart"/>
      <w:r w:rsidR="00104108">
        <w:rPr>
          <w:rFonts w:ascii="Arial" w:hAnsi="Arial" w:cs="Arial"/>
          <w:sz w:val="22"/>
          <w:szCs w:val="22"/>
        </w:rPr>
        <w:t>moemento</w:t>
      </w:r>
      <w:proofErr w:type="spellEnd"/>
      <w:r w:rsidR="00104108">
        <w:rPr>
          <w:rFonts w:ascii="Arial" w:hAnsi="Arial" w:cs="Arial"/>
          <w:sz w:val="22"/>
          <w:szCs w:val="22"/>
        </w:rPr>
        <w:t xml:space="preserve"> se han </w:t>
      </w:r>
      <w:r w:rsidRPr="000B79AB">
        <w:rPr>
          <w:rFonts w:ascii="Arial" w:hAnsi="Arial" w:cs="Arial"/>
          <w:sz w:val="22"/>
          <w:szCs w:val="22"/>
        </w:rPr>
        <w:t>otorgado</w:t>
      </w:r>
      <w:r w:rsidR="00104108">
        <w:rPr>
          <w:rFonts w:ascii="Arial" w:hAnsi="Arial" w:cs="Arial"/>
          <w:sz w:val="22"/>
          <w:szCs w:val="22"/>
        </w:rPr>
        <w:t xml:space="preserve"> 12</w:t>
      </w:r>
      <w:r w:rsidRPr="000B79AB">
        <w:rPr>
          <w:rFonts w:ascii="Arial" w:hAnsi="Arial" w:cs="Arial"/>
          <w:sz w:val="22"/>
          <w:szCs w:val="22"/>
        </w:rPr>
        <w:t xml:space="preserve"> permisos para la liberación al ambiente de organismos genéticamente modificados por parte de la Dirección General de Inocuidad Agroalimentaria y Pesquera (DGIAAP) del SEN</w:t>
      </w:r>
      <w:r>
        <w:rPr>
          <w:rFonts w:ascii="Arial" w:hAnsi="Arial" w:cs="Arial"/>
          <w:sz w:val="22"/>
          <w:szCs w:val="22"/>
        </w:rPr>
        <w:t>A</w:t>
      </w:r>
      <w:r w:rsidRPr="000B79AB">
        <w:rPr>
          <w:rFonts w:ascii="Arial" w:hAnsi="Arial" w:cs="Arial"/>
          <w:sz w:val="22"/>
          <w:szCs w:val="22"/>
        </w:rPr>
        <w:t xml:space="preserve">SICA, SAGARPA. No se han actualizado las solicitudes de liberación al ambiente de maíz genéticamente modificado debido a que estos trámites se encuentran suspendidos por orden del Juez al SENASICA, como medida precautoria derivada del inicio del Juicio Ordinario Civil Federal, Expediente 321/2013 del índice de Juzgado Décimo Segundo de Distrito en Materia Civil. Las demás solicitudes se han integrado en el Registro Nacional de Bioseguridad de Organismos Genéticamente Modificados (RNABIOGM), y se actualiza su estatus conforme se recibe el reporte de la autoridad facultada. </w:t>
      </w:r>
    </w:p>
    <w:p w:rsidR="000B79AB" w:rsidRPr="000B79AB" w:rsidRDefault="000B79AB" w:rsidP="000B79AB">
      <w:pPr>
        <w:jc w:val="both"/>
        <w:rPr>
          <w:rFonts w:ascii="Arial" w:hAnsi="Arial" w:cs="Arial"/>
          <w:sz w:val="22"/>
          <w:szCs w:val="22"/>
        </w:rPr>
      </w:pPr>
      <w:r w:rsidRPr="000B79AB">
        <w:rPr>
          <w:rFonts w:ascii="Arial" w:hAnsi="Arial" w:cs="Arial"/>
          <w:sz w:val="22"/>
          <w:szCs w:val="22"/>
        </w:rPr>
        <w:t xml:space="preserve">Con respecto a la lista de evaluación de inocuidad caso por caso de los </w:t>
      </w:r>
      <w:proofErr w:type="spellStart"/>
      <w:r w:rsidRPr="000B79AB">
        <w:rPr>
          <w:rFonts w:ascii="Arial" w:hAnsi="Arial" w:cs="Arial"/>
          <w:sz w:val="22"/>
          <w:szCs w:val="22"/>
        </w:rPr>
        <w:t>OGMs</w:t>
      </w:r>
      <w:proofErr w:type="spellEnd"/>
      <w:r w:rsidRPr="000B79AB">
        <w:rPr>
          <w:rFonts w:ascii="Arial" w:hAnsi="Arial" w:cs="Arial"/>
          <w:sz w:val="22"/>
          <w:szCs w:val="22"/>
        </w:rPr>
        <w:t xml:space="preserve"> que se destinen al consumo humano, animal y procesamiento, la Comisión de Evaluación y Manejo de Riesgos (CEMAR) de la COFEPRIS autorizo durante el periodo del 1 de enero al 31 de diciembre del 2014, se otorgaron 5 solicitudes de Organismos Genéticamente Modificados, de las cuales 3 corresponden a: algodón (</w:t>
      </w:r>
      <w:proofErr w:type="spellStart"/>
      <w:r w:rsidRPr="000B79AB">
        <w:rPr>
          <w:rFonts w:ascii="Arial" w:hAnsi="Arial" w:cs="Arial"/>
          <w:sz w:val="22"/>
          <w:szCs w:val="22"/>
        </w:rPr>
        <w:t>Gossypium</w:t>
      </w:r>
      <w:proofErr w:type="spellEnd"/>
      <w:r w:rsidRPr="000B79AB">
        <w:rPr>
          <w:rFonts w:ascii="Arial" w:hAnsi="Arial" w:cs="Arial"/>
          <w:sz w:val="22"/>
          <w:szCs w:val="22"/>
        </w:rPr>
        <w:t xml:space="preserve"> </w:t>
      </w:r>
      <w:proofErr w:type="spellStart"/>
      <w:r w:rsidRPr="000B79AB">
        <w:rPr>
          <w:rFonts w:ascii="Arial" w:hAnsi="Arial" w:cs="Arial"/>
          <w:sz w:val="22"/>
          <w:szCs w:val="22"/>
        </w:rPr>
        <w:t>hirsutum</w:t>
      </w:r>
      <w:proofErr w:type="spellEnd"/>
      <w:r w:rsidRPr="000B79AB">
        <w:rPr>
          <w:rFonts w:ascii="Arial" w:hAnsi="Arial" w:cs="Arial"/>
          <w:sz w:val="22"/>
          <w:szCs w:val="22"/>
        </w:rPr>
        <w:t xml:space="preserve">); uno a maíz (Zea </w:t>
      </w:r>
      <w:proofErr w:type="spellStart"/>
      <w:r w:rsidRPr="000B79AB">
        <w:rPr>
          <w:rFonts w:ascii="Arial" w:hAnsi="Arial" w:cs="Arial"/>
          <w:sz w:val="22"/>
          <w:szCs w:val="22"/>
        </w:rPr>
        <w:t>mays</w:t>
      </w:r>
      <w:proofErr w:type="spellEnd"/>
      <w:r w:rsidRPr="000B79AB">
        <w:rPr>
          <w:rFonts w:ascii="Arial" w:hAnsi="Arial" w:cs="Arial"/>
          <w:sz w:val="22"/>
          <w:szCs w:val="22"/>
        </w:rPr>
        <w:t>); y otro a soya (</w:t>
      </w:r>
      <w:proofErr w:type="spellStart"/>
      <w:r w:rsidRPr="000B79AB">
        <w:rPr>
          <w:rFonts w:ascii="Arial" w:hAnsi="Arial" w:cs="Arial"/>
          <w:sz w:val="22"/>
          <w:szCs w:val="22"/>
        </w:rPr>
        <w:t>Glycine</w:t>
      </w:r>
      <w:proofErr w:type="spellEnd"/>
      <w:r w:rsidRPr="000B79AB">
        <w:rPr>
          <w:rFonts w:ascii="Arial" w:hAnsi="Arial" w:cs="Arial"/>
          <w:sz w:val="22"/>
          <w:szCs w:val="22"/>
        </w:rPr>
        <w:t xml:space="preserve"> </w:t>
      </w:r>
      <w:proofErr w:type="spellStart"/>
      <w:r w:rsidRPr="000B79AB">
        <w:rPr>
          <w:rFonts w:ascii="Arial" w:hAnsi="Arial" w:cs="Arial"/>
          <w:sz w:val="22"/>
          <w:szCs w:val="22"/>
        </w:rPr>
        <w:t>max</w:t>
      </w:r>
      <w:proofErr w:type="spellEnd"/>
      <w:r w:rsidRPr="000B79AB">
        <w:rPr>
          <w:rFonts w:ascii="Arial" w:hAnsi="Arial" w:cs="Arial"/>
          <w:sz w:val="22"/>
          <w:szCs w:val="22"/>
        </w:rPr>
        <w:t>). Todas las autorizaciones emitidas por COFEPRIS se añadieron al Registro y pueden ser consultadas en la Lista de Evaluación de Inocuidad Caso por Caso de los Organismos Genéticamente Modificados (</w:t>
      </w:r>
      <w:proofErr w:type="spellStart"/>
      <w:r w:rsidRPr="000B79AB">
        <w:rPr>
          <w:rFonts w:ascii="Arial" w:hAnsi="Arial" w:cs="Arial"/>
          <w:sz w:val="22"/>
          <w:szCs w:val="22"/>
        </w:rPr>
        <w:t>OGMs</w:t>
      </w:r>
      <w:proofErr w:type="spellEnd"/>
      <w:r w:rsidRPr="000B79AB">
        <w:rPr>
          <w:rFonts w:ascii="Arial" w:hAnsi="Arial" w:cs="Arial"/>
          <w:sz w:val="22"/>
          <w:szCs w:val="22"/>
        </w:rPr>
        <w:t>) en las páginas siguientes:</w:t>
      </w:r>
    </w:p>
    <w:p w:rsidR="000B79AB" w:rsidRDefault="00456DE8" w:rsidP="000B79AB">
      <w:pPr>
        <w:jc w:val="both"/>
        <w:rPr>
          <w:rFonts w:cs="Arial"/>
        </w:rPr>
      </w:pPr>
      <w:hyperlink r:id="rId19" w:history="1">
        <w:r w:rsidR="000B79AB" w:rsidRPr="004B717A">
          <w:rPr>
            <w:rStyle w:val="Hipervnculo"/>
            <w:rFonts w:ascii="Arial" w:hAnsi="Arial" w:cs="Arial"/>
            <w:bCs/>
          </w:rPr>
          <w:t>http://www.cofepris.gob.mx/AZ/Paginas/OGMS.aspx</w:t>
        </w:r>
      </w:hyperlink>
    </w:p>
    <w:p w:rsidR="000B79AB" w:rsidRDefault="00456DE8" w:rsidP="000B79AB">
      <w:pPr>
        <w:pStyle w:val="Prrafodelista"/>
        <w:ind w:left="0"/>
      </w:pPr>
      <w:hyperlink r:id="rId20" w:history="1">
        <w:r w:rsidR="000B79AB">
          <w:rPr>
            <w:rStyle w:val="Hipervnculo"/>
            <w:rFonts w:ascii="Arial Narrow" w:hAnsi="Arial Narrow"/>
          </w:rPr>
          <w:t>http://www.cofepris.gob.mx/AZ/Paginas/OGMS/Lista.aspx</w:t>
        </w:r>
      </w:hyperlink>
    </w:p>
    <w:p w:rsidR="000B79AB" w:rsidRDefault="00456DE8" w:rsidP="000B79AB">
      <w:pPr>
        <w:pStyle w:val="Prrafodelista"/>
        <w:ind w:left="0"/>
        <w:rPr>
          <w:rFonts w:ascii="Arial Narrow" w:hAnsi="Arial Narrow"/>
        </w:rPr>
      </w:pPr>
      <w:hyperlink r:id="rId21" w:history="1">
        <w:r w:rsidR="000B79AB" w:rsidRPr="00F854DA">
          <w:rPr>
            <w:rStyle w:val="Hipervnculo"/>
            <w:rFonts w:ascii="Arial Narrow" w:hAnsi="Arial Narrow"/>
          </w:rPr>
          <w:t>http://www.conacyt.gob.mx/cibiogem/index.php/sistema-nacional-de-informacion/registro-nacional-bioseguridad-ogms</w:t>
        </w:r>
      </w:hyperlink>
    </w:p>
    <w:p w:rsidR="000B79AB" w:rsidRDefault="000B79AB" w:rsidP="000B79AB">
      <w:pPr>
        <w:ind w:left="360"/>
        <w:jc w:val="right"/>
        <w:rPr>
          <w:bCs/>
        </w:rPr>
      </w:pPr>
    </w:p>
    <w:p w:rsidR="000B79AB" w:rsidRPr="000B79AB" w:rsidRDefault="000B79AB" w:rsidP="000B79AB">
      <w:pPr>
        <w:jc w:val="both"/>
        <w:rPr>
          <w:rFonts w:ascii="Arial" w:hAnsi="Arial" w:cs="Arial"/>
          <w:sz w:val="22"/>
          <w:szCs w:val="22"/>
        </w:rPr>
      </w:pPr>
      <w:r w:rsidRPr="000B79AB">
        <w:rPr>
          <w:rFonts w:ascii="Arial" w:hAnsi="Arial" w:cs="Arial"/>
          <w:sz w:val="22"/>
          <w:szCs w:val="22"/>
        </w:rPr>
        <w:t xml:space="preserve">Se remitieron al registro, ocho avisos de utilización confinada de OGM, seis con fines de enseñanza e investigación científica y tecnológica y dos de uso industrial, estos últimos de la Empresa </w:t>
      </w:r>
      <w:proofErr w:type="spellStart"/>
      <w:r w:rsidRPr="000B79AB">
        <w:rPr>
          <w:rFonts w:ascii="Arial" w:hAnsi="Arial" w:cs="Arial"/>
          <w:sz w:val="22"/>
          <w:szCs w:val="22"/>
        </w:rPr>
        <w:t>StelaGenomics</w:t>
      </w:r>
      <w:proofErr w:type="spellEnd"/>
      <w:r w:rsidRPr="000B79AB">
        <w:rPr>
          <w:rFonts w:ascii="Arial" w:hAnsi="Arial" w:cs="Arial"/>
          <w:sz w:val="22"/>
          <w:szCs w:val="22"/>
        </w:rPr>
        <w:t xml:space="preserve"> S. de R. L. de C. V.</w:t>
      </w:r>
    </w:p>
    <w:p w:rsidR="000B79AB" w:rsidRDefault="000B79AB" w:rsidP="000B79AB">
      <w:pPr>
        <w:ind w:left="1418"/>
        <w:jc w:val="both"/>
        <w:rPr>
          <w:rFonts w:ascii="Arial" w:hAnsi="Arial" w:cs="Arial"/>
        </w:rPr>
      </w:pPr>
    </w:p>
    <w:p w:rsidR="000B79AB" w:rsidRPr="001822C3" w:rsidRDefault="000B79AB" w:rsidP="000B79AB">
      <w:pPr>
        <w:ind w:right="474"/>
        <w:jc w:val="center"/>
        <w:rPr>
          <w:rFonts w:ascii="Arial" w:hAnsi="Arial" w:cs="Arial"/>
          <w:b/>
        </w:rPr>
      </w:pPr>
      <w:r w:rsidRPr="001822C3">
        <w:rPr>
          <w:rFonts w:ascii="Arial" w:hAnsi="Arial" w:cs="Arial"/>
          <w:b/>
        </w:rPr>
        <w:t>Avisos de utilización confinada en el RNBIOGM, recibidos en el 2014.</w:t>
      </w:r>
    </w:p>
    <w:tbl>
      <w:tblPr>
        <w:tblW w:w="9003" w:type="dxa"/>
        <w:jc w:val="center"/>
        <w:tblInd w:w="1317" w:type="dxa"/>
        <w:tblCellMar>
          <w:left w:w="0" w:type="dxa"/>
          <w:right w:w="0" w:type="dxa"/>
        </w:tblCellMar>
        <w:tblLook w:val="04A0" w:firstRow="1" w:lastRow="0" w:firstColumn="1" w:lastColumn="0" w:noHBand="0" w:noVBand="1"/>
      </w:tblPr>
      <w:tblGrid>
        <w:gridCol w:w="1027"/>
        <w:gridCol w:w="1419"/>
        <w:gridCol w:w="1701"/>
        <w:gridCol w:w="1276"/>
        <w:gridCol w:w="1559"/>
        <w:gridCol w:w="2021"/>
      </w:tblGrid>
      <w:tr w:rsidR="000B79AB" w:rsidTr="00727AA8">
        <w:trPr>
          <w:trHeight w:val="397"/>
          <w:jc w:val="center"/>
        </w:trPr>
        <w:tc>
          <w:tcPr>
            <w:tcW w:w="1027"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0B79AB" w:rsidRPr="00843C20" w:rsidRDefault="000B79AB" w:rsidP="00727AA8">
            <w:pPr>
              <w:spacing w:line="276" w:lineRule="auto"/>
              <w:jc w:val="center"/>
              <w:rPr>
                <w:sz w:val="16"/>
              </w:rPr>
            </w:pPr>
            <w:r w:rsidRPr="00843C20">
              <w:rPr>
                <w:rFonts w:ascii="Arial Narrow" w:hAnsi="Arial Narrow"/>
                <w:b/>
                <w:bCs/>
                <w:sz w:val="16"/>
              </w:rPr>
              <w:t>Año/Aviso</w:t>
            </w:r>
          </w:p>
        </w:tc>
        <w:tc>
          <w:tcPr>
            <w:tcW w:w="1419"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0B79AB" w:rsidRPr="00843C20" w:rsidRDefault="000B79AB" w:rsidP="00727AA8">
            <w:pPr>
              <w:spacing w:line="276" w:lineRule="auto"/>
              <w:jc w:val="center"/>
              <w:rPr>
                <w:sz w:val="16"/>
              </w:rPr>
            </w:pPr>
            <w:r w:rsidRPr="00843C20">
              <w:rPr>
                <w:rFonts w:ascii="Arial Narrow" w:hAnsi="Arial Narrow"/>
                <w:b/>
                <w:bCs/>
                <w:sz w:val="16"/>
              </w:rPr>
              <w:t xml:space="preserve">Sobre la integración de las comisiones internas de bioseguridad </w:t>
            </w:r>
          </w:p>
        </w:tc>
        <w:tc>
          <w:tcPr>
            <w:tcW w:w="1701" w:type="dxa"/>
            <w:tcBorders>
              <w:top w:val="single" w:sz="8" w:space="0" w:color="auto"/>
              <w:left w:val="nil"/>
              <w:bottom w:val="single" w:sz="8" w:space="0" w:color="auto"/>
              <w:right w:val="single" w:sz="8" w:space="0" w:color="auto"/>
            </w:tcBorders>
            <w:shd w:val="clear" w:color="auto" w:fill="D6E3BC"/>
            <w:hideMark/>
          </w:tcPr>
          <w:p w:rsidR="000B79AB" w:rsidRPr="00843C20" w:rsidRDefault="000B79AB" w:rsidP="00727AA8">
            <w:pPr>
              <w:spacing w:line="276" w:lineRule="auto"/>
              <w:jc w:val="center"/>
              <w:rPr>
                <w:sz w:val="16"/>
              </w:rPr>
            </w:pPr>
            <w:r w:rsidRPr="00843C20">
              <w:rPr>
                <w:rFonts w:ascii="Arial Narrow" w:hAnsi="Arial Narrow"/>
                <w:b/>
                <w:bCs/>
                <w:sz w:val="16"/>
              </w:rPr>
              <w:t xml:space="preserve">Sobre la primera utilización de laboratorios o instalaciones específicas de enseñanza o investigación científica </w:t>
            </w:r>
          </w:p>
        </w:tc>
        <w:tc>
          <w:tcPr>
            <w:tcW w:w="1276" w:type="dxa"/>
            <w:tcBorders>
              <w:top w:val="single" w:sz="8" w:space="0" w:color="auto"/>
              <w:left w:val="nil"/>
              <w:bottom w:val="single" w:sz="8" w:space="0" w:color="auto"/>
              <w:right w:val="single" w:sz="8" w:space="0" w:color="auto"/>
            </w:tcBorders>
            <w:shd w:val="clear" w:color="auto" w:fill="D6E3BC"/>
            <w:hideMark/>
          </w:tcPr>
          <w:p w:rsidR="000B79AB" w:rsidRPr="00843C20" w:rsidRDefault="000B79AB" w:rsidP="00727AA8">
            <w:pPr>
              <w:spacing w:line="276" w:lineRule="auto"/>
              <w:jc w:val="center"/>
              <w:rPr>
                <w:sz w:val="16"/>
              </w:rPr>
            </w:pPr>
            <w:r w:rsidRPr="00843C20">
              <w:rPr>
                <w:rFonts w:ascii="Arial Narrow" w:hAnsi="Arial Narrow"/>
                <w:b/>
                <w:bCs/>
                <w:sz w:val="16"/>
              </w:rPr>
              <w:t>De los Organismos Genéticamente Modificados que se manejen, generen y produzcan</w:t>
            </w:r>
          </w:p>
        </w:tc>
        <w:tc>
          <w:tcPr>
            <w:tcW w:w="1559" w:type="dxa"/>
            <w:tcBorders>
              <w:top w:val="single" w:sz="8" w:space="0" w:color="auto"/>
              <w:left w:val="nil"/>
              <w:bottom w:val="single" w:sz="8" w:space="0" w:color="auto"/>
              <w:right w:val="single" w:sz="8" w:space="0" w:color="auto"/>
            </w:tcBorders>
            <w:shd w:val="clear" w:color="auto" w:fill="D6E3BC"/>
            <w:hideMark/>
          </w:tcPr>
          <w:p w:rsidR="000B79AB" w:rsidRPr="00843C20" w:rsidRDefault="000B79AB" w:rsidP="00727AA8">
            <w:pPr>
              <w:spacing w:line="276" w:lineRule="auto"/>
              <w:jc w:val="center"/>
              <w:rPr>
                <w:rFonts w:ascii="Arial Narrow" w:hAnsi="Arial Narrow"/>
                <w:b/>
                <w:bCs/>
                <w:sz w:val="16"/>
              </w:rPr>
            </w:pPr>
            <w:r w:rsidRPr="00843C20">
              <w:rPr>
                <w:rFonts w:ascii="Arial Narrow" w:hAnsi="Arial Narrow"/>
                <w:b/>
                <w:bCs/>
                <w:sz w:val="16"/>
              </w:rPr>
              <w:t>Sobre la producción de Organismos Genéticamente Modificados que se utilicen en procesos industriales</w:t>
            </w:r>
          </w:p>
        </w:tc>
        <w:tc>
          <w:tcPr>
            <w:tcW w:w="2021" w:type="dxa"/>
            <w:tcBorders>
              <w:top w:val="single" w:sz="8" w:space="0" w:color="auto"/>
              <w:left w:val="nil"/>
              <w:bottom w:val="single" w:sz="8" w:space="0" w:color="auto"/>
              <w:right w:val="single" w:sz="8" w:space="0" w:color="auto"/>
            </w:tcBorders>
            <w:shd w:val="clear" w:color="auto" w:fill="D6E3BC"/>
            <w:hideMark/>
          </w:tcPr>
          <w:p w:rsidR="000B79AB" w:rsidRPr="00843C20" w:rsidRDefault="000B79AB" w:rsidP="00727AA8">
            <w:pPr>
              <w:spacing w:line="276" w:lineRule="auto"/>
              <w:jc w:val="center"/>
              <w:rPr>
                <w:rFonts w:ascii="Arial Narrow" w:hAnsi="Arial Narrow"/>
                <w:b/>
                <w:bCs/>
                <w:sz w:val="16"/>
              </w:rPr>
            </w:pPr>
            <w:r w:rsidRPr="00843C20">
              <w:rPr>
                <w:rFonts w:ascii="Arial Narrow" w:hAnsi="Arial Narrow"/>
                <w:b/>
                <w:bCs/>
                <w:sz w:val="16"/>
              </w:rPr>
              <w:t>Sobre la primera utilización de instalaciones específicas en donde se produzcan los Organismos Genéticamente Modificados a que se refiere la fracción anterior</w:t>
            </w:r>
          </w:p>
        </w:tc>
      </w:tr>
      <w:tr w:rsidR="000B79AB" w:rsidTr="00727AA8">
        <w:trPr>
          <w:trHeight w:val="397"/>
          <w:jc w:val="center"/>
        </w:trPr>
        <w:tc>
          <w:tcPr>
            <w:tcW w:w="1027" w:type="dxa"/>
            <w:tcBorders>
              <w:top w:val="nil"/>
              <w:left w:val="single" w:sz="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0B79AB" w:rsidRDefault="000B79AB" w:rsidP="00727AA8">
            <w:pPr>
              <w:spacing w:line="276" w:lineRule="auto"/>
              <w:jc w:val="center"/>
            </w:pPr>
            <w:r>
              <w:rPr>
                <w:rFonts w:ascii="Arial Narrow" w:hAnsi="Arial Narrow"/>
              </w:rPr>
              <w:t>2014</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9AB" w:rsidRDefault="000B79AB" w:rsidP="00727AA8">
            <w:pPr>
              <w:spacing w:line="276" w:lineRule="auto"/>
              <w:jc w:val="center"/>
            </w:pPr>
            <w:r>
              <w:rPr>
                <w:rFonts w:ascii="Arial Narrow" w:hAnsi="Arial Narrow"/>
              </w:rPr>
              <w:t>4</w:t>
            </w:r>
          </w:p>
        </w:tc>
        <w:tc>
          <w:tcPr>
            <w:tcW w:w="1701" w:type="dxa"/>
            <w:tcBorders>
              <w:top w:val="nil"/>
              <w:left w:val="nil"/>
              <w:bottom w:val="single" w:sz="8" w:space="0" w:color="auto"/>
              <w:right w:val="single" w:sz="8" w:space="0" w:color="auto"/>
            </w:tcBorders>
            <w:vAlign w:val="center"/>
            <w:hideMark/>
          </w:tcPr>
          <w:p w:rsidR="000B79AB" w:rsidRDefault="000B79AB" w:rsidP="00727AA8">
            <w:pPr>
              <w:spacing w:line="276" w:lineRule="auto"/>
              <w:jc w:val="center"/>
            </w:pPr>
            <w:r>
              <w:rPr>
                <w:rFonts w:ascii="Arial Narrow" w:hAnsi="Arial Narrow"/>
              </w:rPr>
              <w:t>3</w:t>
            </w:r>
          </w:p>
        </w:tc>
        <w:tc>
          <w:tcPr>
            <w:tcW w:w="1276" w:type="dxa"/>
            <w:tcBorders>
              <w:top w:val="nil"/>
              <w:left w:val="nil"/>
              <w:bottom w:val="single" w:sz="8" w:space="0" w:color="auto"/>
              <w:right w:val="single" w:sz="8" w:space="0" w:color="auto"/>
            </w:tcBorders>
            <w:vAlign w:val="center"/>
            <w:hideMark/>
          </w:tcPr>
          <w:p w:rsidR="000B79AB" w:rsidRDefault="000B79AB" w:rsidP="00727AA8">
            <w:pPr>
              <w:spacing w:line="276" w:lineRule="auto"/>
              <w:jc w:val="center"/>
            </w:pPr>
            <w:r>
              <w:rPr>
                <w:rFonts w:ascii="Arial Narrow" w:hAnsi="Arial Narrow"/>
              </w:rPr>
              <w:t>3</w:t>
            </w:r>
          </w:p>
        </w:tc>
        <w:tc>
          <w:tcPr>
            <w:tcW w:w="1559" w:type="dxa"/>
            <w:tcBorders>
              <w:top w:val="nil"/>
              <w:left w:val="nil"/>
              <w:bottom w:val="single" w:sz="8" w:space="0" w:color="auto"/>
              <w:right w:val="single" w:sz="8" w:space="0" w:color="auto"/>
            </w:tcBorders>
            <w:vAlign w:val="center"/>
            <w:hideMark/>
          </w:tcPr>
          <w:p w:rsidR="000B79AB" w:rsidRDefault="000B79AB" w:rsidP="00727AA8">
            <w:pPr>
              <w:spacing w:line="276" w:lineRule="auto"/>
              <w:jc w:val="center"/>
              <w:rPr>
                <w:rFonts w:ascii="Arial Narrow" w:hAnsi="Arial Narrow"/>
              </w:rPr>
            </w:pPr>
            <w:r>
              <w:rPr>
                <w:rFonts w:ascii="Arial Narrow" w:hAnsi="Arial Narrow"/>
              </w:rPr>
              <w:t>2</w:t>
            </w:r>
          </w:p>
        </w:tc>
        <w:tc>
          <w:tcPr>
            <w:tcW w:w="2021" w:type="dxa"/>
            <w:tcBorders>
              <w:top w:val="nil"/>
              <w:left w:val="nil"/>
              <w:bottom w:val="single" w:sz="8" w:space="0" w:color="auto"/>
              <w:right w:val="single" w:sz="8" w:space="0" w:color="auto"/>
            </w:tcBorders>
            <w:vAlign w:val="center"/>
            <w:hideMark/>
          </w:tcPr>
          <w:p w:rsidR="000B79AB" w:rsidRDefault="000B79AB" w:rsidP="00727AA8">
            <w:pPr>
              <w:spacing w:line="276" w:lineRule="auto"/>
              <w:jc w:val="center"/>
              <w:rPr>
                <w:rFonts w:ascii="Arial Narrow" w:hAnsi="Arial Narrow"/>
              </w:rPr>
            </w:pPr>
            <w:r>
              <w:rPr>
                <w:rFonts w:ascii="Arial Narrow" w:hAnsi="Arial Narrow"/>
              </w:rPr>
              <w:t>2</w:t>
            </w:r>
          </w:p>
        </w:tc>
      </w:tr>
    </w:tbl>
    <w:p w:rsidR="000B79AB" w:rsidRDefault="000B79AB" w:rsidP="000B79AB">
      <w:pPr>
        <w:ind w:left="1418"/>
        <w:jc w:val="both"/>
        <w:rPr>
          <w:rFonts w:ascii="Arial" w:hAnsi="Arial" w:cs="Arial"/>
        </w:rPr>
      </w:pPr>
    </w:p>
    <w:p w:rsidR="005F094E" w:rsidRPr="00CB2DCF" w:rsidRDefault="005F094E" w:rsidP="005F094E">
      <w:pPr>
        <w:jc w:val="both"/>
        <w:rPr>
          <w:rFonts w:ascii="Arial" w:hAnsi="Arial" w:cs="Arial"/>
          <w:bCs/>
          <w:sz w:val="22"/>
          <w:szCs w:val="22"/>
        </w:rPr>
      </w:pPr>
    </w:p>
    <w:p w:rsidR="005F094E" w:rsidRPr="00CB2DCF" w:rsidRDefault="005F094E" w:rsidP="005F094E">
      <w:pPr>
        <w:jc w:val="both"/>
        <w:rPr>
          <w:rFonts w:ascii="Arial" w:hAnsi="Arial" w:cs="Arial"/>
          <w:b/>
          <w:sz w:val="22"/>
          <w:szCs w:val="22"/>
        </w:rPr>
      </w:pPr>
      <w:r w:rsidRPr="00CB2DCF">
        <w:rPr>
          <w:rFonts w:ascii="Arial" w:hAnsi="Arial" w:cs="Arial"/>
          <w:b/>
          <w:sz w:val="22"/>
          <w:szCs w:val="22"/>
        </w:rPr>
        <w:t>III. Página electrónica de la Comisión (</w:t>
      </w:r>
      <w:hyperlink r:id="rId22" w:history="1">
        <w:r w:rsidRPr="00CB2DCF">
          <w:rPr>
            <w:rStyle w:val="Hipervnculo"/>
            <w:rFonts w:ascii="Arial" w:hAnsi="Arial" w:cs="Arial"/>
            <w:b/>
            <w:sz w:val="22"/>
            <w:szCs w:val="22"/>
          </w:rPr>
          <w:t>www.cibiogem.gob.mx</w:t>
        </w:r>
      </w:hyperlink>
      <w:r w:rsidRPr="00CB2DCF">
        <w:rPr>
          <w:rFonts w:ascii="Arial" w:hAnsi="Arial" w:cs="Arial"/>
          <w:b/>
          <w:sz w:val="22"/>
          <w:szCs w:val="22"/>
        </w:rPr>
        <w:t>)</w:t>
      </w:r>
    </w:p>
    <w:p w:rsidR="005F094E" w:rsidRPr="00CB2DCF" w:rsidRDefault="005F094E" w:rsidP="005F094E">
      <w:pPr>
        <w:jc w:val="both"/>
        <w:rPr>
          <w:rFonts w:ascii="Arial" w:hAnsi="Arial" w:cs="Arial"/>
          <w:b/>
          <w:sz w:val="22"/>
          <w:szCs w:val="22"/>
        </w:rPr>
      </w:pPr>
    </w:p>
    <w:p w:rsidR="00104108" w:rsidRPr="00104108" w:rsidRDefault="00104108" w:rsidP="00104108">
      <w:pPr>
        <w:jc w:val="both"/>
        <w:rPr>
          <w:rFonts w:ascii="Arial" w:hAnsi="Arial" w:cs="Arial"/>
          <w:bCs/>
          <w:sz w:val="22"/>
          <w:szCs w:val="22"/>
        </w:rPr>
      </w:pPr>
      <w:r w:rsidRPr="00104108">
        <w:rPr>
          <w:rFonts w:ascii="Arial" w:hAnsi="Arial" w:cs="Arial"/>
          <w:bCs/>
          <w:sz w:val="22"/>
          <w:szCs w:val="22"/>
        </w:rPr>
        <w:t>Actualización de la plataforma del Portal público de la CIBIOGEM, así como de la dirección web.</w:t>
      </w:r>
    </w:p>
    <w:p w:rsidR="00104108" w:rsidRPr="00104108" w:rsidRDefault="00104108" w:rsidP="00104108">
      <w:pPr>
        <w:jc w:val="both"/>
        <w:rPr>
          <w:rFonts w:ascii="Arial" w:hAnsi="Arial" w:cs="Arial"/>
          <w:bCs/>
          <w:sz w:val="22"/>
          <w:szCs w:val="22"/>
        </w:rPr>
      </w:pPr>
      <w:r w:rsidRPr="00104108">
        <w:rPr>
          <w:rFonts w:ascii="Arial" w:hAnsi="Arial" w:cs="Arial"/>
          <w:bCs/>
          <w:sz w:val="22"/>
          <w:szCs w:val="22"/>
        </w:rPr>
        <w:t>Se administró y actualizó la Página web de la Comisión (http://</w:t>
      </w:r>
      <w:hyperlink r:id="rId23" w:history="1">
        <w:r w:rsidRPr="00104108">
          <w:rPr>
            <w:rFonts w:ascii="Arial" w:hAnsi="Arial" w:cs="Arial"/>
            <w:bCs/>
            <w:sz w:val="22"/>
            <w:szCs w:val="22"/>
          </w:rPr>
          <w:t>www.conacyt.gob.mx</w:t>
        </w:r>
      </w:hyperlink>
      <w:r w:rsidRPr="00104108">
        <w:rPr>
          <w:rFonts w:ascii="Arial" w:hAnsi="Arial" w:cs="Arial"/>
          <w:bCs/>
          <w:sz w:val="22"/>
          <w:szCs w:val="22"/>
        </w:rPr>
        <w:t>/cibiogem) referente a la información de carácter público (Sistema Nacional de Información, convocatorias, eventos científicos, etc.).</w:t>
      </w:r>
    </w:p>
    <w:p w:rsidR="005F094E" w:rsidRPr="00CB2DCF" w:rsidRDefault="005F094E" w:rsidP="005F094E">
      <w:pPr>
        <w:jc w:val="both"/>
        <w:rPr>
          <w:rFonts w:ascii="Arial" w:hAnsi="Arial" w:cs="Arial"/>
          <w:b/>
          <w:sz w:val="22"/>
          <w:szCs w:val="22"/>
        </w:rPr>
      </w:pPr>
    </w:p>
    <w:p w:rsidR="005F094E" w:rsidRPr="00CB2DCF" w:rsidRDefault="005F094E" w:rsidP="005F094E">
      <w:pPr>
        <w:jc w:val="both"/>
        <w:rPr>
          <w:rFonts w:ascii="Arial" w:hAnsi="Arial" w:cs="Arial"/>
          <w:b/>
          <w:sz w:val="22"/>
          <w:szCs w:val="22"/>
        </w:rPr>
      </w:pPr>
      <w:r w:rsidRPr="00CB2DCF">
        <w:rPr>
          <w:rFonts w:ascii="Arial" w:hAnsi="Arial" w:cs="Arial"/>
          <w:b/>
          <w:sz w:val="22"/>
          <w:szCs w:val="22"/>
        </w:rPr>
        <w:t>Participación en foros, simposios y talleres.</w:t>
      </w:r>
    </w:p>
    <w:p w:rsidR="001E185E" w:rsidRPr="00CB2DCF" w:rsidRDefault="001E185E" w:rsidP="005F094E">
      <w:pPr>
        <w:jc w:val="both"/>
        <w:rPr>
          <w:rFonts w:ascii="Arial" w:hAnsi="Arial" w:cs="Arial"/>
          <w:b/>
          <w:sz w:val="22"/>
          <w:szCs w:val="22"/>
        </w:rPr>
      </w:pPr>
    </w:p>
    <w:p w:rsidR="00104108" w:rsidRPr="00104108" w:rsidRDefault="00104108" w:rsidP="00104108">
      <w:pPr>
        <w:jc w:val="both"/>
        <w:rPr>
          <w:rFonts w:ascii="Arial" w:hAnsi="Arial" w:cs="Arial"/>
          <w:bCs/>
          <w:sz w:val="22"/>
          <w:szCs w:val="22"/>
        </w:rPr>
      </w:pPr>
      <w:r w:rsidRPr="00104108">
        <w:rPr>
          <w:rFonts w:ascii="Arial" w:hAnsi="Arial" w:cs="Arial"/>
          <w:bCs/>
          <w:sz w:val="22"/>
          <w:szCs w:val="22"/>
        </w:rPr>
        <w:t xml:space="preserve">Se desarrollaron actividades asociadas a la implementación de los artículos 22 y 23 del Protocolo de Cartagena sobre Seguridad de la Biotecnología, las cuales se describen a continuación: </w:t>
      </w:r>
    </w:p>
    <w:p w:rsidR="00104108" w:rsidRPr="00104108" w:rsidRDefault="00104108" w:rsidP="00104108">
      <w:pPr>
        <w:ind w:left="720"/>
        <w:jc w:val="both"/>
        <w:rPr>
          <w:rFonts w:ascii="Arial" w:hAnsi="Arial" w:cs="Arial"/>
          <w:bCs/>
          <w:sz w:val="22"/>
          <w:szCs w:val="22"/>
        </w:rPr>
      </w:pPr>
    </w:p>
    <w:p w:rsidR="00435748" w:rsidRDefault="00104108" w:rsidP="00104108">
      <w:pPr>
        <w:pStyle w:val="Prrafodelista"/>
        <w:numPr>
          <w:ilvl w:val="0"/>
          <w:numId w:val="39"/>
        </w:numPr>
        <w:jc w:val="both"/>
        <w:rPr>
          <w:rFonts w:cs="Arial"/>
          <w:bCs/>
          <w:sz w:val="22"/>
        </w:rPr>
      </w:pPr>
      <w:r w:rsidRPr="00104108">
        <w:rPr>
          <w:rFonts w:cs="Arial"/>
          <w:bCs/>
          <w:sz w:val="22"/>
        </w:rPr>
        <w:t xml:space="preserve">La Secretaría Ejecutiva ha coordinado la realización de </w:t>
      </w:r>
      <w:r>
        <w:rPr>
          <w:rFonts w:cs="Arial"/>
          <w:bCs/>
          <w:sz w:val="22"/>
        </w:rPr>
        <w:t>ocho</w:t>
      </w:r>
      <w:r w:rsidRPr="00104108">
        <w:rPr>
          <w:rFonts w:cs="Arial"/>
          <w:bCs/>
          <w:sz w:val="22"/>
        </w:rPr>
        <w:t xml:space="preserve"> Ediciones del “Seminario de Biotecnología y Bioseguridad de Organismos Genéticamente Modificados” con la participación presencial de 179 personas. Esta actividad provee la transmisión vía internet en tiempo real a modo de Foro virtual. Se ha contado con la conexión remota de 147 personas.</w:t>
      </w:r>
    </w:p>
    <w:p w:rsidR="00104108" w:rsidRPr="00435748" w:rsidRDefault="00104108" w:rsidP="00104108">
      <w:pPr>
        <w:pStyle w:val="Prrafodelista"/>
        <w:numPr>
          <w:ilvl w:val="0"/>
          <w:numId w:val="39"/>
        </w:numPr>
        <w:jc w:val="both"/>
        <w:rPr>
          <w:rFonts w:cs="Arial"/>
          <w:bCs/>
          <w:sz w:val="22"/>
        </w:rPr>
      </w:pPr>
      <w:r w:rsidRPr="00435748">
        <w:rPr>
          <w:rFonts w:cs="Arial"/>
          <w:bCs/>
          <w:sz w:val="22"/>
        </w:rPr>
        <w:t>Como parte de las actividades de capacitación a funcionarios y público en general se generó un ciclo de diez seminarios del Nuevas Técnicas de Mejoramiento Genético (</w:t>
      </w:r>
      <w:proofErr w:type="spellStart"/>
      <w:r w:rsidRPr="00435748">
        <w:rPr>
          <w:rFonts w:cs="Arial"/>
          <w:bCs/>
          <w:sz w:val="22"/>
        </w:rPr>
        <w:t>NPBTs</w:t>
      </w:r>
      <w:proofErr w:type="spellEnd"/>
      <w:r w:rsidRPr="00435748">
        <w:rPr>
          <w:rFonts w:cs="Arial"/>
          <w:bCs/>
          <w:sz w:val="22"/>
        </w:rPr>
        <w:t xml:space="preserve">). Este seminario tuvo el propósito de proveer un soporte para definiciones relevantes sobre las </w:t>
      </w:r>
      <w:proofErr w:type="spellStart"/>
      <w:r w:rsidRPr="00435748">
        <w:rPr>
          <w:rFonts w:cs="Arial"/>
          <w:bCs/>
          <w:sz w:val="22"/>
        </w:rPr>
        <w:t>NPBTs</w:t>
      </w:r>
      <w:proofErr w:type="spellEnd"/>
      <w:r w:rsidRPr="00435748">
        <w:rPr>
          <w:rFonts w:cs="Arial"/>
          <w:bCs/>
          <w:sz w:val="22"/>
        </w:rPr>
        <w:t>. Cada seminario fue presentado por investigadores nacionales involucrados de manera prácti</w:t>
      </w:r>
      <w:r w:rsidR="00435748">
        <w:rPr>
          <w:rFonts w:cs="Arial"/>
          <w:bCs/>
          <w:sz w:val="22"/>
        </w:rPr>
        <w:t>c</w:t>
      </w:r>
      <w:r w:rsidRPr="00435748">
        <w:rPr>
          <w:rFonts w:cs="Arial"/>
          <w:bCs/>
          <w:sz w:val="22"/>
        </w:rPr>
        <w:t>a con cada tema y que pudieron aportar comentarios  y solucionar consultas a los asi</w:t>
      </w:r>
      <w:r w:rsidR="00435748">
        <w:rPr>
          <w:rFonts w:cs="Arial"/>
          <w:bCs/>
          <w:sz w:val="22"/>
        </w:rPr>
        <w:t>s</w:t>
      </w:r>
      <w:r w:rsidRPr="00435748">
        <w:rPr>
          <w:rFonts w:cs="Arial"/>
          <w:bCs/>
          <w:sz w:val="22"/>
        </w:rPr>
        <w:t xml:space="preserve">tentes. Este seminario también fue transmitido en línea con el apoyo del Instituto Interamericano de Cooperación para la Agricultura (IICA). Es este caso se contó con un total de </w:t>
      </w:r>
      <w:r w:rsidR="00435748" w:rsidRPr="00435748">
        <w:rPr>
          <w:rFonts w:cs="Arial"/>
          <w:bCs/>
          <w:sz w:val="22"/>
        </w:rPr>
        <w:t>208 asistentes y 146 personas en conexión remota.</w:t>
      </w:r>
    </w:p>
    <w:p w:rsidR="00104108" w:rsidRPr="00104108" w:rsidRDefault="00104108" w:rsidP="00104108">
      <w:pPr>
        <w:pStyle w:val="Prrafodelista"/>
        <w:autoSpaceDE w:val="0"/>
        <w:autoSpaceDN w:val="0"/>
        <w:adjustRightInd w:val="0"/>
        <w:jc w:val="both"/>
        <w:rPr>
          <w:rFonts w:ascii="Times New Roman" w:hAnsi="Times New Roman"/>
          <w:bCs/>
        </w:rPr>
      </w:pPr>
    </w:p>
    <w:p w:rsidR="00435748" w:rsidRPr="00F334CC" w:rsidRDefault="00435748" w:rsidP="00435748">
      <w:pPr>
        <w:jc w:val="both"/>
        <w:rPr>
          <w:rFonts w:ascii="Arial" w:hAnsi="Arial" w:cs="Arial"/>
          <w:bCs/>
          <w:sz w:val="22"/>
          <w:szCs w:val="22"/>
        </w:rPr>
      </w:pPr>
      <w:r w:rsidRPr="00F334CC">
        <w:rPr>
          <w:rFonts w:ascii="Arial" w:hAnsi="Arial" w:cs="Arial"/>
          <w:bCs/>
          <w:sz w:val="22"/>
          <w:szCs w:val="22"/>
        </w:rPr>
        <w:t xml:space="preserve">En consideración de la importancia de la cooperación internacional en el fortalecimiento de capacidades técnicas entre países de la Región Latinoamericana, se llevó a cabo el "Curso Regional para el Fortalecimiento de Capacidades en bioseguridad de organismos genéticamente modificados”, del 12 al 16 de mayo, en la Ciudad de México. El evento contó con la participación de nueve funcionarios designados de los Gobiernos de Colombia, Ecuador, Perú, Cuba, Guatemala y Costa Rica. Además de 30 funcionarios nacionales interesados en el tema de bioseguridad, particularmente en los aspectos científicos, técnicos y jurídicos. </w:t>
      </w:r>
    </w:p>
    <w:p w:rsidR="00435748" w:rsidRPr="00F334CC" w:rsidRDefault="00435748" w:rsidP="00F334CC">
      <w:pPr>
        <w:jc w:val="both"/>
        <w:rPr>
          <w:rFonts w:ascii="Arial" w:hAnsi="Arial" w:cs="Arial"/>
          <w:bCs/>
          <w:sz w:val="22"/>
          <w:szCs w:val="22"/>
        </w:rPr>
      </w:pPr>
    </w:p>
    <w:p w:rsidR="00435748" w:rsidRPr="00F334CC" w:rsidRDefault="00435748" w:rsidP="00F334CC">
      <w:pPr>
        <w:jc w:val="both"/>
        <w:rPr>
          <w:rFonts w:ascii="Arial" w:hAnsi="Arial" w:cs="Arial"/>
          <w:bCs/>
          <w:sz w:val="22"/>
          <w:szCs w:val="22"/>
        </w:rPr>
      </w:pPr>
      <w:r w:rsidRPr="00F334CC">
        <w:rPr>
          <w:rFonts w:ascii="Arial" w:hAnsi="Arial" w:cs="Arial"/>
          <w:bCs/>
          <w:sz w:val="22"/>
          <w:szCs w:val="22"/>
        </w:rPr>
        <w:t>Para dar a conocer el marco normativo se participó en diferentes foros en instituciones de educación superior como son el TEC de Monterrey, el CIBNOR, la Facultad de Ciencias Biológicas de la Universidad Autónoma de Nuevo León, el Colegio de la Frontera Sur (</w:t>
      </w:r>
      <w:proofErr w:type="spellStart"/>
      <w:r w:rsidRPr="00F334CC">
        <w:rPr>
          <w:rFonts w:ascii="Arial" w:hAnsi="Arial" w:cs="Arial"/>
          <w:bCs/>
          <w:sz w:val="22"/>
          <w:szCs w:val="22"/>
        </w:rPr>
        <w:t>Ecosur</w:t>
      </w:r>
      <w:proofErr w:type="spellEnd"/>
      <w:r w:rsidRPr="00F334CC">
        <w:rPr>
          <w:rFonts w:ascii="Arial" w:hAnsi="Arial" w:cs="Arial"/>
          <w:bCs/>
          <w:sz w:val="22"/>
          <w:szCs w:val="22"/>
        </w:rPr>
        <w:t>), y el Instituto de la Judicatura Federal.</w:t>
      </w:r>
    </w:p>
    <w:p w:rsidR="00435748" w:rsidRPr="00F334CC" w:rsidRDefault="00435748" w:rsidP="00F334CC">
      <w:pPr>
        <w:jc w:val="both"/>
        <w:rPr>
          <w:rFonts w:ascii="Arial" w:hAnsi="Arial" w:cs="Arial"/>
          <w:bCs/>
          <w:sz w:val="22"/>
          <w:szCs w:val="22"/>
        </w:rPr>
      </w:pPr>
    </w:p>
    <w:p w:rsidR="00F334CC" w:rsidRDefault="00435748" w:rsidP="00F334CC">
      <w:pPr>
        <w:jc w:val="both"/>
        <w:rPr>
          <w:rFonts w:ascii="Arial" w:hAnsi="Arial" w:cs="Arial"/>
          <w:bCs/>
          <w:sz w:val="22"/>
          <w:szCs w:val="22"/>
        </w:rPr>
      </w:pPr>
      <w:r w:rsidRPr="00F334CC">
        <w:rPr>
          <w:rFonts w:ascii="Arial" w:hAnsi="Arial" w:cs="Arial"/>
          <w:bCs/>
          <w:sz w:val="22"/>
          <w:szCs w:val="22"/>
        </w:rPr>
        <w:t xml:space="preserve">Asimismo la Secretaría Ejecutiva ha participado como ponente en </w:t>
      </w:r>
      <w:r w:rsidR="00F334CC" w:rsidRPr="00F334CC">
        <w:rPr>
          <w:rFonts w:ascii="Arial" w:hAnsi="Arial" w:cs="Arial"/>
          <w:bCs/>
          <w:sz w:val="22"/>
          <w:szCs w:val="22"/>
        </w:rPr>
        <w:t>congresos, foros</w:t>
      </w:r>
      <w:r w:rsidRPr="00F334CC">
        <w:rPr>
          <w:rFonts w:ascii="Arial" w:hAnsi="Arial" w:cs="Arial"/>
          <w:bCs/>
          <w:sz w:val="22"/>
          <w:szCs w:val="22"/>
        </w:rPr>
        <w:t xml:space="preserve"> </w:t>
      </w:r>
      <w:r w:rsidR="00F334CC" w:rsidRPr="00F334CC">
        <w:rPr>
          <w:rFonts w:ascii="Arial" w:hAnsi="Arial" w:cs="Arial"/>
          <w:bCs/>
          <w:sz w:val="22"/>
          <w:szCs w:val="22"/>
        </w:rPr>
        <w:t xml:space="preserve">y otros </w:t>
      </w:r>
      <w:r w:rsidRPr="00F334CC">
        <w:rPr>
          <w:rFonts w:ascii="Arial" w:hAnsi="Arial" w:cs="Arial"/>
          <w:bCs/>
          <w:sz w:val="22"/>
          <w:szCs w:val="22"/>
        </w:rPr>
        <w:t xml:space="preserve">eventos para difusión del tema como han sido: El </w:t>
      </w:r>
      <w:proofErr w:type="spellStart"/>
      <w:r w:rsidRPr="00F334CC">
        <w:rPr>
          <w:rFonts w:ascii="Arial" w:hAnsi="Arial" w:cs="Arial"/>
          <w:bCs/>
          <w:sz w:val="22"/>
          <w:szCs w:val="22"/>
        </w:rPr>
        <w:t>Alumni</w:t>
      </w:r>
      <w:proofErr w:type="spellEnd"/>
      <w:r w:rsidRPr="00F334CC">
        <w:rPr>
          <w:rFonts w:ascii="Arial" w:hAnsi="Arial" w:cs="Arial"/>
          <w:bCs/>
          <w:sz w:val="22"/>
          <w:szCs w:val="22"/>
        </w:rPr>
        <w:t xml:space="preserve"> DAAD </w:t>
      </w:r>
      <w:proofErr w:type="spellStart"/>
      <w:r w:rsidRPr="00F334CC">
        <w:rPr>
          <w:rFonts w:ascii="Arial" w:hAnsi="Arial" w:cs="Arial"/>
          <w:bCs/>
          <w:sz w:val="22"/>
          <w:szCs w:val="22"/>
        </w:rPr>
        <w:t>Seminar</w:t>
      </w:r>
      <w:proofErr w:type="spellEnd"/>
      <w:r w:rsidRPr="00F334CC">
        <w:rPr>
          <w:rFonts w:ascii="Arial" w:hAnsi="Arial" w:cs="Arial"/>
          <w:bCs/>
          <w:sz w:val="22"/>
          <w:szCs w:val="22"/>
        </w:rPr>
        <w:t xml:space="preserve"> 2014 “</w:t>
      </w:r>
      <w:proofErr w:type="spellStart"/>
      <w:r w:rsidRPr="00F334CC">
        <w:rPr>
          <w:rFonts w:ascii="Arial" w:hAnsi="Arial" w:cs="Arial"/>
          <w:bCs/>
          <w:sz w:val="22"/>
          <w:szCs w:val="22"/>
        </w:rPr>
        <w:t>Transgenic</w:t>
      </w:r>
      <w:proofErr w:type="spellEnd"/>
      <w:r w:rsidRPr="00F334CC">
        <w:rPr>
          <w:rFonts w:ascii="Arial" w:hAnsi="Arial" w:cs="Arial"/>
          <w:bCs/>
          <w:sz w:val="22"/>
          <w:szCs w:val="22"/>
        </w:rPr>
        <w:t xml:space="preserve"> </w:t>
      </w:r>
      <w:proofErr w:type="spellStart"/>
      <w:r w:rsidRPr="00F334CC">
        <w:rPr>
          <w:rFonts w:ascii="Arial" w:hAnsi="Arial" w:cs="Arial"/>
          <w:bCs/>
          <w:sz w:val="22"/>
          <w:szCs w:val="22"/>
        </w:rPr>
        <w:t>foods</w:t>
      </w:r>
      <w:proofErr w:type="spellEnd"/>
      <w:r w:rsidRPr="00F334CC">
        <w:rPr>
          <w:rFonts w:ascii="Arial" w:hAnsi="Arial" w:cs="Arial"/>
          <w:bCs/>
          <w:sz w:val="22"/>
          <w:szCs w:val="22"/>
        </w:rPr>
        <w:t xml:space="preserve">” del Sistema de Intercambio Académico de Alemania en la Facultad de Química de la UNAM; la Reunión Nacional de Consolidación del programa educativo de </w:t>
      </w:r>
      <w:r w:rsidRPr="00F334CC">
        <w:rPr>
          <w:rFonts w:ascii="Arial" w:hAnsi="Arial" w:cs="Arial"/>
          <w:bCs/>
          <w:sz w:val="22"/>
          <w:szCs w:val="22"/>
        </w:rPr>
        <w:lastRenderedPageBreak/>
        <w:t>Ingeniería en Biotecnología con enfoque en competencias profesionales</w:t>
      </w:r>
      <w:r w:rsidR="00F334CC" w:rsidRPr="00F334CC">
        <w:rPr>
          <w:rFonts w:ascii="Arial" w:hAnsi="Arial" w:cs="Arial"/>
          <w:bCs/>
          <w:sz w:val="22"/>
          <w:szCs w:val="22"/>
        </w:rPr>
        <w:t xml:space="preserve">; el </w:t>
      </w:r>
      <w:r w:rsidRPr="00F334CC">
        <w:rPr>
          <w:rFonts w:ascii="Arial" w:hAnsi="Arial" w:cs="Arial"/>
          <w:bCs/>
          <w:sz w:val="22"/>
          <w:szCs w:val="22"/>
        </w:rPr>
        <w:t xml:space="preserve">VI Simposio Internacional de Bioseguridad y </w:t>
      </w:r>
      <w:proofErr w:type="spellStart"/>
      <w:r w:rsidRPr="00F334CC">
        <w:rPr>
          <w:rFonts w:ascii="Arial" w:hAnsi="Arial" w:cs="Arial"/>
          <w:bCs/>
          <w:sz w:val="22"/>
          <w:szCs w:val="22"/>
        </w:rPr>
        <w:t>Biocustodia</w:t>
      </w:r>
      <w:proofErr w:type="spellEnd"/>
      <w:r w:rsidRPr="00F334CC">
        <w:rPr>
          <w:rFonts w:ascii="Arial" w:hAnsi="Arial" w:cs="Arial"/>
          <w:bCs/>
          <w:sz w:val="22"/>
          <w:szCs w:val="22"/>
        </w:rPr>
        <w:t xml:space="preserve"> (SIBB14), organizado por la Asociación Mexicana de Bioseguridad (AMEXBIO)</w:t>
      </w:r>
      <w:r w:rsidR="00F334CC" w:rsidRPr="00F334CC">
        <w:rPr>
          <w:rFonts w:ascii="Arial" w:hAnsi="Arial" w:cs="Arial"/>
          <w:bCs/>
          <w:sz w:val="22"/>
          <w:szCs w:val="22"/>
        </w:rPr>
        <w:t xml:space="preserve">, </w:t>
      </w:r>
      <w:r w:rsidRPr="00F334CC">
        <w:rPr>
          <w:rFonts w:ascii="Arial" w:hAnsi="Arial" w:cs="Arial"/>
          <w:bCs/>
          <w:sz w:val="22"/>
          <w:szCs w:val="22"/>
        </w:rPr>
        <w:t>e</w:t>
      </w:r>
      <w:r w:rsidR="00F334CC" w:rsidRPr="00F334CC">
        <w:rPr>
          <w:rFonts w:ascii="Arial" w:hAnsi="Arial" w:cs="Arial"/>
          <w:bCs/>
          <w:sz w:val="22"/>
          <w:szCs w:val="22"/>
        </w:rPr>
        <w:t>l XXI Foro APPAMEX – NAEGA 2014, además de la XXI Semana Nacional de la Ciencia y la Tecnología, donde se contó con una participación de por lo menos 1550 personas.</w:t>
      </w:r>
    </w:p>
    <w:p w:rsidR="00F334CC" w:rsidRPr="00F334CC" w:rsidRDefault="00F334CC" w:rsidP="00F334CC">
      <w:pPr>
        <w:jc w:val="both"/>
        <w:rPr>
          <w:rFonts w:ascii="Arial" w:hAnsi="Arial" w:cs="Arial"/>
          <w:bCs/>
          <w:sz w:val="22"/>
          <w:szCs w:val="22"/>
        </w:rPr>
      </w:pPr>
    </w:p>
    <w:p w:rsidR="00F334CC" w:rsidRPr="00F334CC" w:rsidRDefault="00F334CC" w:rsidP="00F334CC">
      <w:pPr>
        <w:jc w:val="both"/>
        <w:rPr>
          <w:rFonts w:ascii="Arial" w:hAnsi="Arial" w:cs="Arial"/>
          <w:bCs/>
          <w:sz w:val="22"/>
          <w:szCs w:val="22"/>
        </w:rPr>
      </w:pPr>
      <w:r w:rsidRPr="00F334CC">
        <w:rPr>
          <w:rFonts w:ascii="Arial" w:hAnsi="Arial" w:cs="Arial"/>
          <w:bCs/>
          <w:sz w:val="22"/>
          <w:szCs w:val="22"/>
        </w:rPr>
        <w:t>Con el objetivo de continuar facilitando espacios de intercambio de información actualizada sobre el uso de Organismos Genéticamente Modificados (</w:t>
      </w:r>
      <w:proofErr w:type="spellStart"/>
      <w:r w:rsidRPr="00F334CC">
        <w:rPr>
          <w:rFonts w:ascii="Arial" w:hAnsi="Arial" w:cs="Arial"/>
          <w:bCs/>
          <w:sz w:val="22"/>
          <w:szCs w:val="22"/>
        </w:rPr>
        <w:t>OGMs</w:t>
      </w:r>
      <w:proofErr w:type="spellEnd"/>
      <w:r w:rsidRPr="00F334CC">
        <w:rPr>
          <w:rFonts w:ascii="Arial" w:hAnsi="Arial" w:cs="Arial"/>
          <w:bCs/>
          <w:sz w:val="22"/>
          <w:szCs w:val="22"/>
        </w:rPr>
        <w:t xml:space="preserve">) en México mediante las acciones que llevó a cabo la CIBIOGEM, a través de sus instancias competentes y de su Secretaría Ejecutiva, </w:t>
      </w:r>
      <w:r w:rsidR="00843C20" w:rsidRPr="00F334CC">
        <w:rPr>
          <w:rFonts w:ascii="Arial" w:hAnsi="Arial" w:cs="Arial"/>
          <w:bCs/>
          <w:sz w:val="22"/>
          <w:szCs w:val="22"/>
        </w:rPr>
        <w:t xml:space="preserve">se celebró el </w:t>
      </w:r>
      <w:r w:rsidRPr="00F334CC">
        <w:rPr>
          <w:rFonts w:ascii="Arial" w:hAnsi="Arial" w:cs="Arial"/>
          <w:bCs/>
          <w:sz w:val="22"/>
          <w:szCs w:val="22"/>
        </w:rPr>
        <w:t xml:space="preserve">"Día de Puertas Abiertas" </w:t>
      </w:r>
      <w:r w:rsidR="00843C20">
        <w:rPr>
          <w:rFonts w:ascii="Arial" w:hAnsi="Arial" w:cs="Arial"/>
          <w:bCs/>
          <w:sz w:val="22"/>
          <w:szCs w:val="22"/>
        </w:rPr>
        <w:t>el</w:t>
      </w:r>
      <w:r w:rsidRPr="00F334CC">
        <w:rPr>
          <w:rFonts w:ascii="Arial" w:hAnsi="Arial" w:cs="Arial"/>
          <w:bCs/>
          <w:sz w:val="22"/>
          <w:szCs w:val="22"/>
        </w:rPr>
        <w:t xml:space="preserve"> 11 de septiembre del 2014. Se contó con la participación de 21 personas.</w:t>
      </w:r>
    </w:p>
    <w:p w:rsidR="00F334CC" w:rsidRPr="00F334CC" w:rsidRDefault="00F334CC" w:rsidP="00F334CC">
      <w:pPr>
        <w:jc w:val="both"/>
        <w:rPr>
          <w:rFonts w:ascii="Arial" w:hAnsi="Arial" w:cs="Arial"/>
          <w:bCs/>
          <w:sz w:val="22"/>
          <w:szCs w:val="22"/>
        </w:rPr>
      </w:pPr>
    </w:p>
    <w:p w:rsidR="00F334CC" w:rsidRPr="00F334CC" w:rsidRDefault="00F334CC" w:rsidP="00F334CC">
      <w:pPr>
        <w:jc w:val="both"/>
        <w:rPr>
          <w:rFonts w:ascii="Arial" w:hAnsi="Arial" w:cs="Arial"/>
          <w:bCs/>
          <w:sz w:val="22"/>
          <w:szCs w:val="22"/>
        </w:rPr>
      </w:pPr>
      <w:r w:rsidRPr="00F334CC">
        <w:rPr>
          <w:rFonts w:ascii="Arial" w:hAnsi="Arial" w:cs="Arial"/>
          <w:bCs/>
          <w:sz w:val="22"/>
          <w:szCs w:val="22"/>
        </w:rPr>
        <w:t xml:space="preserve">La Secretaría Ejecutiva de la CIBIOGEM realizo el “Taller de Análisis de Evidencias Científicas para la Toma de decisiones: El Caso de Maíz GM en México” los días 26 y 27 de junio de 2014, en la Ciudad de México. Este ejercicio forma parte de las actividades asociadas a la consulta y revisión de aspectos técnicos y científicos en biotecnología moderna y bioseguridad de </w:t>
      </w:r>
      <w:proofErr w:type="spellStart"/>
      <w:r w:rsidRPr="00F334CC">
        <w:rPr>
          <w:rFonts w:ascii="Arial" w:hAnsi="Arial" w:cs="Arial"/>
          <w:bCs/>
          <w:sz w:val="22"/>
          <w:szCs w:val="22"/>
        </w:rPr>
        <w:t>OGMs</w:t>
      </w:r>
      <w:proofErr w:type="spellEnd"/>
      <w:r w:rsidRPr="00F334CC">
        <w:rPr>
          <w:rFonts w:ascii="Arial" w:hAnsi="Arial" w:cs="Arial"/>
          <w:bCs/>
          <w:sz w:val="22"/>
          <w:szCs w:val="22"/>
        </w:rPr>
        <w:t>, así como actividades de revisión de elementos regulatorios y acciones de fortalecimiento de capacidades nacionales. Durante este taller se contó con la participación de 63 personas integrantes del Consejo Consultivo Científico, Consejo Consultivo Mixto, del Comité Técnico de la CIBIOGEM, así como personal de la Secretaría Ejecutiva.</w:t>
      </w:r>
    </w:p>
    <w:p w:rsidR="00435748" w:rsidRPr="00F334CC" w:rsidRDefault="00435748" w:rsidP="00435748">
      <w:pPr>
        <w:jc w:val="both"/>
        <w:rPr>
          <w:rFonts w:ascii="Arial" w:hAnsi="Arial" w:cs="Arial"/>
          <w:bCs/>
          <w:sz w:val="22"/>
          <w:szCs w:val="22"/>
        </w:rPr>
      </w:pPr>
    </w:p>
    <w:p w:rsidR="00435748" w:rsidRPr="00F334CC" w:rsidRDefault="00435748" w:rsidP="00F334CC">
      <w:pPr>
        <w:jc w:val="both"/>
        <w:rPr>
          <w:rFonts w:ascii="Arial" w:hAnsi="Arial" w:cs="Arial"/>
          <w:bCs/>
          <w:sz w:val="22"/>
          <w:szCs w:val="22"/>
        </w:rPr>
      </w:pPr>
      <w:r w:rsidRPr="00F334CC">
        <w:rPr>
          <w:rFonts w:ascii="Arial" w:hAnsi="Arial" w:cs="Arial"/>
          <w:bCs/>
          <w:sz w:val="22"/>
          <w:szCs w:val="22"/>
        </w:rPr>
        <w:t xml:space="preserve">Con fecha del 26 de abril de 2014, se llevó a cabo la Trigésima Séptima Sesión Ordinaria del Consejo Consultivo de la Comisión Nacional para el Desarrollo de los Pueblos Indígenas (CDI), reunión a la cual fue invitada a participar la Secretaria Ejecutiva de la CIBIOGEM para presentar temas relacionados al bioseguridad de los </w:t>
      </w:r>
      <w:proofErr w:type="spellStart"/>
      <w:r w:rsidRPr="00F334CC">
        <w:rPr>
          <w:rFonts w:ascii="Arial" w:hAnsi="Arial" w:cs="Arial"/>
          <w:bCs/>
          <w:sz w:val="22"/>
          <w:szCs w:val="22"/>
        </w:rPr>
        <w:t>OGMs</w:t>
      </w:r>
      <w:proofErr w:type="spellEnd"/>
      <w:r w:rsidRPr="00F334CC">
        <w:rPr>
          <w:rFonts w:ascii="Arial" w:hAnsi="Arial" w:cs="Arial"/>
          <w:bCs/>
          <w:sz w:val="22"/>
          <w:szCs w:val="22"/>
        </w:rPr>
        <w:t xml:space="preserve">. En esta reunión participaron nueve estados de la Republica representando a las siguientes etnias: </w:t>
      </w:r>
      <w:proofErr w:type="spellStart"/>
      <w:r w:rsidRPr="00F334CC">
        <w:rPr>
          <w:rFonts w:ascii="Arial" w:hAnsi="Arial" w:cs="Arial"/>
          <w:bCs/>
          <w:sz w:val="22"/>
          <w:szCs w:val="22"/>
        </w:rPr>
        <w:t>Cochimi</w:t>
      </w:r>
      <w:proofErr w:type="spellEnd"/>
      <w:r w:rsidRPr="00F334CC">
        <w:rPr>
          <w:rFonts w:ascii="Arial" w:hAnsi="Arial" w:cs="Arial"/>
          <w:bCs/>
          <w:sz w:val="22"/>
          <w:szCs w:val="22"/>
        </w:rPr>
        <w:t xml:space="preserve">, </w:t>
      </w:r>
      <w:proofErr w:type="spellStart"/>
      <w:r w:rsidRPr="00F334CC">
        <w:rPr>
          <w:rFonts w:ascii="Arial" w:hAnsi="Arial" w:cs="Arial"/>
          <w:bCs/>
          <w:sz w:val="22"/>
          <w:szCs w:val="22"/>
        </w:rPr>
        <w:t>Kiliwa</w:t>
      </w:r>
      <w:proofErr w:type="spellEnd"/>
      <w:r w:rsidRPr="00F334CC">
        <w:rPr>
          <w:rFonts w:ascii="Arial" w:hAnsi="Arial" w:cs="Arial"/>
          <w:bCs/>
          <w:sz w:val="22"/>
          <w:szCs w:val="22"/>
        </w:rPr>
        <w:t xml:space="preserve">, </w:t>
      </w:r>
      <w:proofErr w:type="spellStart"/>
      <w:r w:rsidRPr="00F334CC">
        <w:rPr>
          <w:rFonts w:ascii="Arial" w:hAnsi="Arial" w:cs="Arial"/>
          <w:bCs/>
          <w:sz w:val="22"/>
          <w:szCs w:val="22"/>
        </w:rPr>
        <w:t>Paipai</w:t>
      </w:r>
      <w:proofErr w:type="spellEnd"/>
      <w:r w:rsidRPr="00F334CC">
        <w:rPr>
          <w:rFonts w:ascii="Arial" w:hAnsi="Arial" w:cs="Arial"/>
          <w:bCs/>
          <w:sz w:val="22"/>
          <w:szCs w:val="22"/>
        </w:rPr>
        <w:t xml:space="preserve">, Lacandón, Tzotzil, Tepehuano, Zoque, </w:t>
      </w:r>
      <w:proofErr w:type="spellStart"/>
      <w:r w:rsidRPr="00F334CC">
        <w:rPr>
          <w:rFonts w:ascii="Arial" w:hAnsi="Arial" w:cs="Arial"/>
          <w:bCs/>
          <w:sz w:val="22"/>
          <w:szCs w:val="22"/>
        </w:rPr>
        <w:t>Tlapaneco</w:t>
      </w:r>
      <w:proofErr w:type="spellEnd"/>
      <w:r w:rsidRPr="00F334CC">
        <w:rPr>
          <w:rFonts w:ascii="Arial" w:hAnsi="Arial" w:cs="Arial"/>
          <w:bCs/>
          <w:sz w:val="22"/>
          <w:szCs w:val="22"/>
        </w:rPr>
        <w:t>, Purépecha, Mazateco, Mixe, Maya, Nahua.</w:t>
      </w:r>
    </w:p>
    <w:p w:rsidR="00435748" w:rsidRPr="00F334CC" w:rsidRDefault="00435748" w:rsidP="00F334CC">
      <w:pPr>
        <w:jc w:val="both"/>
        <w:rPr>
          <w:rFonts w:ascii="Arial" w:hAnsi="Arial" w:cs="Arial"/>
          <w:bCs/>
          <w:sz w:val="22"/>
          <w:szCs w:val="22"/>
        </w:rPr>
      </w:pPr>
    </w:p>
    <w:p w:rsidR="00435748" w:rsidRPr="00F334CC" w:rsidRDefault="00435748" w:rsidP="00F334CC">
      <w:pPr>
        <w:jc w:val="both"/>
        <w:rPr>
          <w:rFonts w:ascii="Arial" w:hAnsi="Arial" w:cs="Arial"/>
          <w:bCs/>
          <w:sz w:val="22"/>
          <w:szCs w:val="22"/>
        </w:rPr>
      </w:pPr>
      <w:r w:rsidRPr="00F334CC">
        <w:rPr>
          <w:rFonts w:ascii="Arial" w:hAnsi="Arial" w:cs="Arial"/>
          <w:bCs/>
          <w:sz w:val="22"/>
          <w:szCs w:val="22"/>
        </w:rPr>
        <w:t>El 22 de octubre de 2014, se realizó en la ciudad de Mérida, Yucatán, el “Taller de Capacitación de Biotecnología y Bioseguridad de Organismos Genéticamente Modificados para funcionarios estatales del Sureste Mexicano”. Se contó con la participación de 66 servidores públicos, de los cuales 9 fungieron como ponentes.</w:t>
      </w:r>
    </w:p>
    <w:p w:rsidR="00435748" w:rsidRPr="00F334CC" w:rsidRDefault="00435748" w:rsidP="00F334CC">
      <w:pPr>
        <w:jc w:val="both"/>
        <w:rPr>
          <w:rFonts w:ascii="Arial" w:hAnsi="Arial" w:cs="Arial"/>
          <w:bCs/>
          <w:sz w:val="22"/>
          <w:szCs w:val="22"/>
        </w:rPr>
      </w:pPr>
    </w:p>
    <w:p w:rsidR="00435748" w:rsidRPr="00F334CC" w:rsidRDefault="00843C20" w:rsidP="00F334CC">
      <w:pPr>
        <w:jc w:val="both"/>
        <w:rPr>
          <w:rFonts w:ascii="Arial" w:hAnsi="Arial" w:cs="Arial"/>
          <w:bCs/>
          <w:sz w:val="22"/>
          <w:szCs w:val="22"/>
        </w:rPr>
      </w:pPr>
      <w:r>
        <w:rPr>
          <w:rFonts w:ascii="Arial" w:hAnsi="Arial" w:cs="Arial"/>
          <w:bCs/>
          <w:sz w:val="22"/>
          <w:szCs w:val="22"/>
        </w:rPr>
        <w:t>S</w:t>
      </w:r>
      <w:r w:rsidR="00435748" w:rsidRPr="00F334CC">
        <w:rPr>
          <w:rFonts w:ascii="Arial" w:hAnsi="Arial" w:cs="Arial"/>
          <w:bCs/>
          <w:sz w:val="22"/>
          <w:szCs w:val="22"/>
        </w:rPr>
        <w:t>e llevó a cabo la “Primera Reunión de la Secretaría Ejecutiva de la CIBIOGEM con Investigadores del Sureste”, el día 22 de octubre de 2014, en la ciudad de Mérida - Yucatán</w:t>
      </w:r>
      <w:r>
        <w:rPr>
          <w:rFonts w:ascii="Arial" w:hAnsi="Arial" w:cs="Arial"/>
          <w:bCs/>
          <w:sz w:val="22"/>
          <w:szCs w:val="22"/>
        </w:rPr>
        <w:t>. Dicha reunión fue dirigida a i</w:t>
      </w:r>
      <w:r w:rsidR="00435748" w:rsidRPr="00F334CC">
        <w:rPr>
          <w:rFonts w:ascii="Arial" w:hAnsi="Arial" w:cs="Arial"/>
          <w:bCs/>
          <w:sz w:val="22"/>
          <w:szCs w:val="22"/>
        </w:rPr>
        <w:t>nvestigadores</w:t>
      </w:r>
      <w:r>
        <w:rPr>
          <w:rFonts w:ascii="Arial" w:hAnsi="Arial" w:cs="Arial"/>
          <w:bCs/>
          <w:sz w:val="22"/>
          <w:szCs w:val="22"/>
        </w:rPr>
        <w:t xml:space="preserve"> nacionales</w:t>
      </w:r>
      <w:r w:rsidR="00435748" w:rsidRPr="00F334CC">
        <w:rPr>
          <w:rFonts w:ascii="Arial" w:hAnsi="Arial" w:cs="Arial"/>
          <w:bCs/>
          <w:sz w:val="22"/>
          <w:szCs w:val="22"/>
        </w:rPr>
        <w:t xml:space="preserve"> involucrados o interesados en la formulación de proyectos sobre desarrollo y uso seguro de </w:t>
      </w:r>
      <w:proofErr w:type="spellStart"/>
      <w:r w:rsidR="00435748" w:rsidRPr="00F334CC">
        <w:rPr>
          <w:rFonts w:ascii="Arial" w:hAnsi="Arial" w:cs="Arial"/>
          <w:bCs/>
          <w:sz w:val="22"/>
          <w:szCs w:val="22"/>
        </w:rPr>
        <w:t>OGMs</w:t>
      </w:r>
      <w:proofErr w:type="spellEnd"/>
      <w:r w:rsidR="00435748" w:rsidRPr="00F334CC">
        <w:rPr>
          <w:rFonts w:ascii="Arial" w:hAnsi="Arial" w:cs="Arial"/>
          <w:bCs/>
          <w:sz w:val="22"/>
          <w:szCs w:val="22"/>
        </w:rPr>
        <w:t>.</w:t>
      </w:r>
    </w:p>
    <w:p w:rsidR="00435748" w:rsidRPr="00D96C97" w:rsidRDefault="00435748" w:rsidP="00435748">
      <w:pPr>
        <w:pStyle w:val="Prrafodelista"/>
        <w:rPr>
          <w:rFonts w:ascii="Arial Narrow" w:hAnsi="Arial Narrow" w:cs="Arial"/>
        </w:rPr>
      </w:pPr>
    </w:p>
    <w:p w:rsidR="001E185E" w:rsidRPr="005F094E" w:rsidRDefault="001E185E" w:rsidP="007B3C65">
      <w:pPr>
        <w:jc w:val="both"/>
        <w:rPr>
          <w:rFonts w:ascii="Arial" w:hAnsi="Arial" w:cs="Arial"/>
          <w:b/>
          <w:bCs/>
        </w:rPr>
      </w:pPr>
    </w:p>
    <w:p w:rsidR="007B3C65" w:rsidRPr="00CB2DCF" w:rsidRDefault="00E167CF" w:rsidP="007B3C65">
      <w:pPr>
        <w:pStyle w:val="Prrafodelista"/>
        <w:ind w:left="720"/>
        <w:jc w:val="both"/>
        <w:rPr>
          <w:rFonts w:eastAsia="Times New Roman" w:cs="Arial"/>
          <w:sz w:val="22"/>
          <w:lang w:eastAsia="es-ES"/>
        </w:rPr>
      </w:pPr>
      <w:r w:rsidRPr="00E167CF">
        <w:rPr>
          <w:rFonts w:eastAsia="Times New Roman" w:cs="Arial"/>
          <w:b/>
          <w:bCs/>
          <w:sz w:val="22"/>
          <w:lang w:eastAsia="es-ES"/>
        </w:rPr>
        <w:t xml:space="preserve">OBJETIVO GENERAL </w:t>
      </w:r>
      <w:r w:rsidR="00E41B08" w:rsidRPr="00E167CF">
        <w:rPr>
          <w:rFonts w:eastAsia="Times New Roman" w:cs="Arial"/>
          <w:b/>
          <w:bCs/>
          <w:sz w:val="22"/>
          <w:lang w:eastAsia="es-ES"/>
        </w:rPr>
        <w:t xml:space="preserve">3. </w:t>
      </w:r>
      <w:r w:rsidR="007B3C65" w:rsidRPr="00CB2DCF">
        <w:rPr>
          <w:rFonts w:eastAsia="Times New Roman" w:cs="Arial"/>
          <w:b/>
          <w:bCs/>
          <w:sz w:val="22"/>
          <w:lang w:eastAsia="es-ES"/>
        </w:rPr>
        <w:t>IMPLEMENTACIÓN Y SEGUIMIENTO DE MANERA COORDINADA DEL MARCO REGULATORIO Y LAS POLÍTICAS PÚBLICAS EN BIOSEGURIDAD</w:t>
      </w:r>
    </w:p>
    <w:p w:rsidR="007B3C65" w:rsidRPr="00CB2DCF" w:rsidRDefault="007B3C65" w:rsidP="007B3C65">
      <w:pPr>
        <w:ind w:left="709" w:hanging="349"/>
        <w:jc w:val="both"/>
        <w:rPr>
          <w:rFonts w:ascii="Arial" w:hAnsi="Arial" w:cs="Arial"/>
          <w:b/>
          <w:bCs/>
          <w:sz w:val="22"/>
          <w:szCs w:val="22"/>
        </w:rPr>
      </w:pPr>
    </w:p>
    <w:p w:rsidR="007B3C65" w:rsidRPr="00CB2DCF" w:rsidRDefault="007B3C65" w:rsidP="007B3C65">
      <w:pPr>
        <w:ind w:left="709" w:hanging="349"/>
        <w:jc w:val="both"/>
        <w:rPr>
          <w:rFonts w:ascii="Arial" w:hAnsi="Arial" w:cs="Arial"/>
          <w:sz w:val="22"/>
          <w:szCs w:val="22"/>
        </w:rPr>
      </w:pPr>
      <w:r w:rsidRPr="00CB2DCF">
        <w:rPr>
          <w:rFonts w:ascii="Arial" w:hAnsi="Arial" w:cs="Arial"/>
          <w:b/>
          <w:bCs/>
          <w:sz w:val="22"/>
          <w:szCs w:val="22"/>
        </w:rPr>
        <w:t>Atención y respuesta coordinada e inmediata a los asuntos jurídicos que surjan, relacionados con la CIBIOGEM.</w:t>
      </w:r>
      <w:r w:rsidRPr="00CB2DCF">
        <w:rPr>
          <w:rFonts w:ascii="Arial" w:hAnsi="Arial" w:cs="Arial"/>
          <w:sz w:val="22"/>
          <w:szCs w:val="22"/>
        </w:rPr>
        <w:tab/>
      </w:r>
    </w:p>
    <w:p w:rsidR="007B3C65" w:rsidRPr="00CB2DCF" w:rsidRDefault="007B3C65" w:rsidP="007B3C65">
      <w:pPr>
        <w:rPr>
          <w:rFonts w:ascii="Arial" w:hAnsi="Arial" w:cs="Arial"/>
          <w:sz w:val="22"/>
          <w:szCs w:val="22"/>
        </w:rPr>
      </w:pPr>
    </w:p>
    <w:p w:rsidR="00880AA1" w:rsidRDefault="00880AA1" w:rsidP="00880AA1">
      <w:pPr>
        <w:jc w:val="both"/>
        <w:rPr>
          <w:rFonts w:ascii="Arial" w:hAnsi="Arial" w:cs="Arial"/>
        </w:rPr>
      </w:pPr>
    </w:p>
    <w:p w:rsidR="00880AA1" w:rsidRPr="00880AA1" w:rsidRDefault="00880AA1" w:rsidP="00880AA1">
      <w:pPr>
        <w:pStyle w:val="Prrafodelista"/>
        <w:ind w:left="142"/>
        <w:jc w:val="both"/>
        <w:rPr>
          <w:rFonts w:cs="Arial"/>
          <w:sz w:val="22"/>
          <w:szCs w:val="20"/>
        </w:rPr>
      </w:pPr>
      <w:r w:rsidRPr="00880AA1">
        <w:rPr>
          <w:rFonts w:cs="Arial"/>
          <w:sz w:val="22"/>
          <w:szCs w:val="20"/>
        </w:rPr>
        <w:t xml:space="preserve">En este periodo </w:t>
      </w:r>
      <w:r w:rsidRPr="00880AA1">
        <w:rPr>
          <w:rFonts w:cs="Arial"/>
          <w:color w:val="262626" w:themeColor="text1" w:themeTint="D9"/>
          <w:sz w:val="22"/>
          <w:szCs w:val="20"/>
        </w:rPr>
        <w:t xml:space="preserve">se continuó prestando </w:t>
      </w:r>
      <w:r w:rsidRPr="00880AA1">
        <w:rPr>
          <w:rFonts w:cs="Arial"/>
          <w:sz w:val="22"/>
          <w:szCs w:val="20"/>
        </w:rPr>
        <w:t xml:space="preserve">seguimiento a los juicios de amparo en proceso a efecto de mantener actualizado el estado procesal que guardan, destacando además las siguientes actuaciones: </w:t>
      </w:r>
    </w:p>
    <w:p w:rsidR="00880AA1" w:rsidRPr="00880AA1" w:rsidRDefault="00880AA1" w:rsidP="00880AA1">
      <w:pPr>
        <w:pStyle w:val="Prrafodelista"/>
        <w:ind w:left="142"/>
        <w:jc w:val="both"/>
        <w:rPr>
          <w:rFonts w:cs="Arial"/>
          <w:sz w:val="22"/>
          <w:szCs w:val="20"/>
        </w:rPr>
      </w:pPr>
    </w:p>
    <w:p w:rsidR="00880AA1" w:rsidRPr="00880AA1" w:rsidRDefault="00880AA1" w:rsidP="00880AA1">
      <w:pPr>
        <w:pStyle w:val="Prrafodelista"/>
        <w:numPr>
          <w:ilvl w:val="0"/>
          <w:numId w:val="9"/>
        </w:numPr>
        <w:jc w:val="both"/>
        <w:rPr>
          <w:rFonts w:cs="Arial"/>
          <w:bCs/>
          <w:sz w:val="22"/>
          <w:szCs w:val="20"/>
        </w:rPr>
      </w:pPr>
      <w:r w:rsidRPr="00880AA1">
        <w:rPr>
          <w:rFonts w:cs="Arial"/>
          <w:bCs/>
          <w:sz w:val="22"/>
          <w:szCs w:val="20"/>
        </w:rPr>
        <w:t>En materia de amparo se dio seguimiento a los expedientes 753/2012 y 762/2012, radicados ante el Juzgado Segundo de Distrito en el Estado de Campeche, así como los expedientes 286/2012 y su acumulado 880/2012, radicados ante el Juzgado Primero de Distrito del Estado de Yucatán. Actualmente en estos expedientes se han dictado sentencias, las cuales están bajo proceso de impugnación mediante recursos de revisión promovidos por las autoridades responsables y los terceros perjudicados.</w:t>
      </w:r>
    </w:p>
    <w:p w:rsidR="00880AA1" w:rsidRPr="00880AA1" w:rsidRDefault="00880AA1" w:rsidP="00880AA1">
      <w:pPr>
        <w:pStyle w:val="Prrafodelista"/>
        <w:ind w:left="720"/>
        <w:jc w:val="both"/>
        <w:rPr>
          <w:rFonts w:cs="Arial"/>
          <w:bCs/>
          <w:sz w:val="22"/>
          <w:szCs w:val="20"/>
        </w:rPr>
      </w:pPr>
    </w:p>
    <w:p w:rsidR="00880AA1" w:rsidRPr="00880AA1" w:rsidRDefault="00880AA1" w:rsidP="00880AA1">
      <w:pPr>
        <w:pStyle w:val="Prrafodelista"/>
        <w:numPr>
          <w:ilvl w:val="0"/>
          <w:numId w:val="9"/>
        </w:numPr>
        <w:jc w:val="both"/>
        <w:rPr>
          <w:rFonts w:cs="Arial"/>
          <w:bCs/>
          <w:sz w:val="22"/>
          <w:szCs w:val="20"/>
        </w:rPr>
      </w:pPr>
      <w:r w:rsidRPr="00880AA1">
        <w:rPr>
          <w:rFonts w:cs="Arial"/>
          <w:bCs/>
          <w:sz w:val="22"/>
          <w:szCs w:val="20"/>
        </w:rPr>
        <w:t>En el periodo se dio seguimiento al expediente 321/2013, relativo al Juicio Ordinario Civil Federal en ejercicio de la Acción Colectiva, radicado ante el Juzgado Décimo Segundo de Distrito en Materia Civil del Distrito Federal, mismo que actualmente se encuentra en trámite y del cual se deriva la medida precautoria dictada en septiembre del 2013, en el sentido de no realizar acciones tendentes al otorgamiento de permisos de liberación al ambiente de maíz genéticamente modificado.</w:t>
      </w:r>
    </w:p>
    <w:p w:rsidR="00880AA1" w:rsidRPr="00880AA1" w:rsidRDefault="00880AA1" w:rsidP="00880AA1">
      <w:pPr>
        <w:pStyle w:val="Prrafodelista"/>
        <w:ind w:left="720"/>
        <w:jc w:val="both"/>
        <w:rPr>
          <w:rFonts w:cs="Arial"/>
          <w:bCs/>
          <w:sz w:val="22"/>
          <w:szCs w:val="20"/>
        </w:rPr>
      </w:pPr>
    </w:p>
    <w:p w:rsidR="00880AA1" w:rsidRPr="00880AA1" w:rsidRDefault="00880AA1" w:rsidP="00880AA1">
      <w:pPr>
        <w:pStyle w:val="Prrafodelista"/>
        <w:numPr>
          <w:ilvl w:val="0"/>
          <w:numId w:val="9"/>
        </w:numPr>
        <w:jc w:val="both"/>
        <w:rPr>
          <w:rFonts w:cs="Arial"/>
          <w:bCs/>
          <w:sz w:val="22"/>
          <w:szCs w:val="20"/>
        </w:rPr>
      </w:pPr>
      <w:r w:rsidRPr="00880AA1">
        <w:rPr>
          <w:rFonts w:cs="Arial"/>
          <w:bCs/>
          <w:sz w:val="22"/>
          <w:szCs w:val="20"/>
        </w:rPr>
        <w:t>Con fecha 19 de febrero del año en curso se recibió oficio de solicitud de información de parte de la Comisión Nacional de los Derechos Humanos, respecto de la queja identificada con el expediente CNDH/6/2013/2407/Q, al cual se le dio contestación con fecha 21 de marzo del 2014, mediante oficio M000/222/14.</w:t>
      </w:r>
    </w:p>
    <w:p w:rsidR="00880AA1" w:rsidRPr="00880AA1" w:rsidRDefault="00880AA1" w:rsidP="00880AA1">
      <w:pPr>
        <w:pStyle w:val="Prrafodelista"/>
        <w:rPr>
          <w:rFonts w:cs="Arial"/>
          <w:bCs/>
          <w:sz w:val="22"/>
          <w:szCs w:val="20"/>
        </w:rPr>
      </w:pPr>
    </w:p>
    <w:p w:rsidR="00880AA1" w:rsidRPr="00880AA1" w:rsidRDefault="00880AA1" w:rsidP="00880AA1">
      <w:pPr>
        <w:pStyle w:val="Prrafodelista"/>
        <w:numPr>
          <w:ilvl w:val="0"/>
          <w:numId w:val="9"/>
        </w:numPr>
        <w:ind w:left="1440"/>
        <w:jc w:val="both"/>
        <w:rPr>
          <w:rFonts w:cs="Arial"/>
          <w:bCs/>
          <w:sz w:val="22"/>
          <w:szCs w:val="20"/>
        </w:rPr>
      </w:pPr>
      <w:r w:rsidRPr="00880AA1">
        <w:rPr>
          <w:rFonts w:cs="Arial"/>
          <w:bCs/>
          <w:sz w:val="22"/>
          <w:szCs w:val="20"/>
        </w:rPr>
        <w:t>Como parte de la atención prestada a este requerimiento, la Secretaría Ejecutiva llevó a cabo una Reunión de Coordinación con fecha 27 de febrero del 2014, en la que participaron representantes de COFEPRIS, DGIRA y SENASICA, habiéndose acordado facilitar la coordinación interinstitucional respecto de asuntos jurisdiccionales, con la finalidad de procurar una mejor y oportuna atención.</w:t>
      </w:r>
    </w:p>
    <w:p w:rsidR="00880AA1" w:rsidRPr="00CF03CF" w:rsidRDefault="00880AA1" w:rsidP="00880AA1">
      <w:pPr>
        <w:ind w:left="1428"/>
        <w:jc w:val="both"/>
        <w:rPr>
          <w:rFonts w:ascii="Arial" w:eastAsia="Calibri" w:hAnsi="Arial" w:cs="Arial"/>
          <w:bCs/>
          <w:lang w:eastAsia="en-US"/>
        </w:rPr>
      </w:pPr>
    </w:p>
    <w:p w:rsidR="00880AA1" w:rsidRPr="00880AA1" w:rsidRDefault="00880AA1" w:rsidP="00880AA1">
      <w:pPr>
        <w:pStyle w:val="Prrafodelista"/>
        <w:numPr>
          <w:ilvl w:val="0"/>
          <w:numId w:val="9"/>
        </w:numPr>
        <w:ind w:left="1440"/>
        <w:jc w:val="both"/>
        <w:rPr>
          <w:rFonts w:cs="Arial"/>
          <w:bCs/>
          <w:sz w:val="22"/>
          <w:szCs w:val="20"/>
        </w:rPr>
      </w:pPr>
      <w:r w:rsidRPr="00880AA1">
        <w:rPr>
          <w:rFonts w:cs="Arial"/>
          <w:bCs/>
          <w:sz w:val="22"/>
          <w:szCs w:val="20"/>
        </w:rPr>
        <w:t xml:space="preserve">De igual manera la Secretaría Ejecutiva participó en una Reunión de Trabajo al interior de la CNDH con fecha 12 de marzo del 2014, en la que participaron el Sexto Visitador General, la Directora del Área de Asuntos Ambientales y la Visitadora Adjunta por la Sexta </w:t>
      </w:r>
      <w:proofErr w:type="spellStart"/>
      <w:r w:rsidRPr="00880AA1">
        <w:rPr>
          <w:rFonts w:cs="Arial"/>
          <w:bCs/>
          <w:sz w:val="22"/>
          <w:szCs w:val="20"/>
        </w:rPr>
        <w:t>Visitaduría</w:t>
      </w:r>
      <w:proofErr w:type="spellEnd"/>
      <w:r w:rsidRPr="00880AA1">
        <w:rPr>
          <w:rFonts w:cs="Arial"/>
          <w:bCs/>
          <w:sz w:val="22"/>
          <w:szCs w:val="20"/>
        </w:rPr>
        <w:t xml:space="preserve"> de la CNDH. En esta reunión se intercambiaron puntos de vista respecto de la Bioseguridad y la Biotecnología.</w:t>
      </w:r>
    </w:p>
    <w:p w:rsidR="00880AA1" w:rsidRPr="00880AA1" w:rsidRDefault="00880AA1" w:rsidP="00880AA1">
      <w:pPr>
        <w:ind w:left="1428"/>
        <w:jc w:val="both"/>
        <w:rPr>
          <w:rFonts w:ascii="Arial" w:eastAsia="Calibri" w:hAnsi="Arial" w:cs="Arial"/>
          <w:bCs/>
          <w:sz w:val="22"/>
          <w:lang w:eastAsia="en-US"/>
        </w:rPr>
      </w:pPr>
    </w:p>
    <w:p w:rsidR="00880AA1" w:rsidRPr="00880AA1" w:rsidRDefault="00880AA1" w:rsidP="00880AA1">
      <w:pPr>
        <w:pStyle w:val="Prrafodelista"/>
        <w:numPr>
          <w:ilvl w:val="0"/>
          <w:numId w:val="9"/>
        </w:numPr>
        <w:ind w:left="1440"/>
        <w:jc w:val="both"/>
        <w:rPr>
          <w:rFonts w:cs="Arial"/>
          <w:bCs/>
          <w:sz w:val="22"/>
          <w:szCs w:val="20"/>
        </w:rPr>
      </w:pPr>
      <w:r w:rsidRPr="00880AA1">
        <w:rPr>
          <w:rFonts w:cs="Arial"/>
          <w:bCs/>
          <w:sz w:val="22"/>
          <w:szCs w:val="20"/>
        </w:rPr>
        <w:t>En atención al interés mostrado por la CNDH, se les giró invitación a</w:t>
      </w:r>
      <w:r w:rsidR="00432331">
        <w:rPr>
          <w:rFonts w:cs="Arial"/>
          <w:bCs/>
          <w:sz w:val="22"/>
          <w:szCs w:val="20"/>
        </w:rPr>
        <w:t xml:space="preserve"> participar con fecha</w:t>
      </w:r>
      <w:r w:rsidRPr="00880AA1">
        <w:rPr>
          <w:rFonts w:cs="Arial"/>
          <w:bCs/>
          <w:sz w:val="22"/>
          <w:szCs w:val="20"/>
        </w:rPr>
        <w:t xml:space="preserve"> 21 de marzo del 2014, en el seminario presentado por la Dra. Beatriz Xoconostle Cázares, relativo a “Siembra experimental de maíz tolerante a sequía en cielo abierto”, al que asistió la Visitadora Adjunta de la Sexta </w:t>
      </w:r>
      <w:proofErr w:type="spellStart"/>
      <w:r w:rsidRPr="00880AA1">
        <w:rPr>
          <w:rFonts w:cs="Arial"/>
          <w:bCs/>
          <w:sz w:val="22"/>
          <w:szCs w:val="20"/>
        </w:rPr>
        <w:t>Visitaduría</w:t>
      </w:r>
      <w:proofErr w:type="spellEnd"/>
      <w:r w:rsidRPr="00880AA1">
        <w:rPr>
          <w:rFonts w:cs="Arial"/>
          <w:bCs/>
          <w:sz w:val="22"/>
          <w:szCs w:val="20"/>
        </w:rPr>
        <w:t xml:space="preserve"> de la CNDH.</w:t>
      </w:r>
      <w:r w:rsidRPr="00880AA1">
        <w:rPr>
          <w:rFonts w:cs="Arial"/>
          <w:sz w:val="22"/>
          <w:szCs w:val="20"/>
        </w:rPr>
        <w:t xml:space="preserve"> </w:t>
      </w:r>
    </w:p>
    <w:p w:rsidR="00880AA1" w:rsidRPr="00432331" w:rsidRDefault="00880AA1" w:rsidP="00432331">
      <w:pPr>
        <w:jc w:val="both"/>
        <w:rPr>
          <w:rFonts w:cs="Arial"/>
          <w:bCs/>
        </w:rPr>
      </w:pPr>
    </w:p>
    <w:p w:rsidR="00880AA1" w:rsidRPr="00880AA1" w:rsidRDefault="00880AA1" w:rsidP="00880AA1">
      <w:pPr>
        <w:pStyle w:val="Prrafodelista"/>
        <w:numPr>
          <w:ilvl w:val="0"/>
          <w:numId w:val="12"/>
        </w:numPr>
        <w:jc w:val="both"/>
        <w:rPr>
          <w:rFonts w:cs="Arial"/>
          <w:bCs/>
          <w:sz w:val="22"/>
          <w:szCs w:val="20"/>
        </w:rPr>
      </w:pPr>
      <w:r w:rsidRPr="00880AA1">
        <w:rPr>
          <w:rFonts w:cs="Arial"/>
          <w:bCs/>
          <w:sz w:val="22"/>
          <w:szCs w:val="20"/>
        </w:rPr>
        <w:t xml:space="preserve">Con fecha 02 de abril del 2014 se recibió la sentencia dictada en el juicio de amparo 762/2012-II radicado ante el Juzgado Segundo de Distrito en el Estado de </w:t>
      </w:r>
      <w:r w:rsidRPr="00880AA1">
        <w:rPr>
          <w:rFonts w:cs="Arial"/>
          <w:bCs/>
          <w:sz w:val="22"/>
          <w:szCs w:val="20"/>
        </w:rPr>
        <w:lastRenderedPageBreak/>
        <w:t>Campeche. En este asunto se proporcionó por parte de la Secretaría Ejecutiva diversas consideraciones jurídicas al SENASICA a efecto de robustecer el recurso de revisión a interponer.</w:t>
      </w:r>
    </w:p>
    <w:p w:rsidR="00880AA1" w:rsidRPr="00880AA1" w:rsidRDefault="00880AA1" w:rsidP="00880AA1">
      <w:pPr>
        <w:pStyle w:val="Prrafodelista"/>
        <w:ind w:left="720"/>
        <w:jc w:val="both"/>
        <w:rPr>
          <w:rFonts w:cs="Arial"/>
          <w:bCs/>
          <w:sz w:val="22"/>
          <w:szCs w:val="20"/>
        </w:rPr>
      </w:pPr>
    </w:p>
    <w:p w:rsidR="00880AA1" w:rsidRPr="00880AA1" w:rsidRDefault="00880AA1" w:rsidP="00880AA1">
      <w:pPr>
        <w:pStyle w:val="Prrafodelista"/>
        <w:numPr>
          <w:ilvl w:val="0"/>
          <w:numId w:val="9"/>
        </w:numPr>
        <w:jc w:val="both"/>
        <w:rPr>
          <w:rFonts w:cs="Arial"/>
          <w:bCs/>
          <w:sz w:val="22"/>
          <w:szCs w:val="20"/>
        </w:rPr>
      </w:pPr>
      <w:r w:rsidRPr="00880AA1">
        <w:rPr>
          <w:rFonts w:cs="Arial"/>
          <w:bCs/>
          <w:sz w:val="22"/>
          <w:szCs w:val="20"/>
        </w:rPr>
        <w:t>En el mes de octubre del 2014, la Secretaría Ejecutiva participó en dos reuniones de trabajo con la Secretaría de Relaciones Exteriores, a fin de dar atención a la “Denuncia sobre destrucción de la herencia biocultural de México por la construcción de megaproyectos de desarrollo en México”, promovida por diversas organizaciones en contra de instancias del Estado mexicano, incluida la CIBIOGEM, en el marco del 153º periodo ordinario de sesiones de la Comisión Interamericana de Derechos Humanos (CIDH) de la Organización de Estados Americanos.</w:t>
      </w:r>
    </w:p>
    <w:p w:rsidR="00880AA1" w:rsidRPr="00880AA1" w:rsidRDefault="00880AA1" w:rsidP="00880AA1">
      <w:pPr>
        <w:pStyle w:val="Prrafodelista"/>
        <w:ind w:left="720"/>
        <w:jc w:val="both"/>
        <w:rPr>
          <w:rFonts w:cs="Arial"/>
          <w:bCs/>
          <w:sz w:val="22"/>
          <w:szCs w:val="20"/>
        </w:rPr>
      </w:pPr>
    </w:p>
    <w:p w:rsidR="00880AA1" w:rsidRPr="00880AA1" w:rsidRDefault="00880AA1" w:rsidP="00880AA1">
      <w:pPr>
        <w:pStyle w:val="Prrafodelista"/>
        <w:numPr>
          <w:ilvl w:val="0"/>
          <w:numId w:val="9"/>
        </w:numPr>
        <w:jc w:val="both"/>
        <w:rPr>
          <w:rFonts w:cs="Arial"/>
          <w:bCs/>
          <w:sz w:val="22"/>
          <w:szCs w:val="20"/>
        </w:rPr>
      </w:pPr>
      <w:r w:rsidRPr="00880AA1">
        <w:rPr>
          <w:rFonts w:cs="Arial"/>
          <w:bCs/>
          <w:sz w:val="22"/>
          <w:szCs w:val="20"/>
        </w:rPr>
        <w:t>Para la integración del documento de postura, de manera coordinada, se realizaron dos sesiones de trabajo con los representantes de las instancias de la CIBIOGEM y se consensuaron los insumos presentados. Con fecha 30 de octubre del 2014 se celebró la audiencia en la Ciudad de Washington, D.C., en donde fue presentada la postura oficial del Estado mexicano por conducto de la Secretaria Ejecutiva de la Comisión.</w:t>
      </w:r>
    </w:p>
    <w:p w:rsidR="00880AA1" w:rsidRPr="00880AA1" w:rsidRDefault="00880AA1" w:rsidP="00880AA1">
      <w:pPr>
        <w:pStyle w:val="Prrafodelista"/>
        <w:ind w:left="720"/>
        <w:jc w:val="both"/>
        <w:rPr>
          <w:rFonts w:cs="Arial"/>
          <w:bCs/>
          <w:sz w:val="22"/>
          <w:szCs w:val="20"/>
        </w:rPr>
      </w:pPr>
    </w:p>
    <w:p w:rsidR="00880AA1" w:rsidRPr="00880AA1" w:rsidRDefault="00880AA1" w:rsidP="00880AA1">
      <w:pPr>
        <w:pStyle w:val="Prrafodelista"/>
        <w:numPr>
          <w:ilvl w:val="0"/>
          <w:numId w:val="12"/>
        </w:numPr>
        <w:jc w:val="both"/>
        <w:rPr>
          <w:rFonts w:cs="Arial"/>
          <w:bCs/>
          <w:sz w:val="22"/>
          <w:szCs w:val="20"/>
        </w:rPr>
      </w:pPr>
      <w:r w:rsidRPr="00880AA1">
        <w:rPr>
          <w:rFonts w:cs="Arial"/>
          <w:bCs/>
          <w:sz w:val="22"/>
          <w:szCs w:val="20"/>
        </w:rPr>
        <w:t xml:space="preserve">En seguimiento a los cuestionamientos expresados por los Comisionados de la CIDH en la audiencia, con fecha 10 de noviembre del 2014, la Secretaría Ejecutiva envió a la Secretaría de Relaciones Exteriores el documento de respuesta, para que por su conducto se hiciera llegar a la CIDH. Actualmente se está en espera de las recomendaciones de la CIDH. </w:t>
      </w:r>
    </w:p>
    <w:p w:rsidR="007B3C65" w:rsidRPr="00CB2DCF" w:rsidRDefault="007B3C65" w:rsidP="007B3C65">
      <w:pPr>
        <w:pStyle w:val="Prrafodelista"/>
        <w:rPr>
          <w:rFonts w:cs="Arial"/>
          <w:sz w:val="22"/>
        </w:rPr>
      </w:pPr>
    </w:p>
    <w:p w:rsidR="005F094E" w:rsidRPr="00CB2DCF" w:rsidRDefault="005F094E" w:rsidP="005F094E">
      <w:pPr>
        <w:jc w:val="both"/>
        <w:rPr>
          <w:rFonts w:ascii="Arial" w:hAnsi="Arial" w:cs="Arial"/>
          <w:b/>
          <w:bCs/>
          <w:sz w:val="22"/>
          <w:szCs w:val="22"/>
        </w:rPr>
      </w:pPr>
    </w:p>
    <w:p w:rsidR="005F094E" w:rsidRPr="00CB2DCF" w:rsidRDefault="00E167CF" w:rsidP="00E167CF">
      <w:pPr>
        <w:pStyle w:val="Prrafodelista"/>
        <w:ind w:left="720"/>
        <w:jc w:val="both"/>
        <w:rPr>
          <w:rFonts w:cs="Arial"/>
          <w:b/>
          <w:bCs/>
          <w:sz w:val="22"/>
        </w:rPr>
      </w:pPr>
      <w:r w:rsidRPr="00E167CF">
        <w:rPr>
          <w:rFonts w:eastAsia="Times New Roman" w:cs="Arial"/>
          <w:b/>
          <w:bCs/>
          <w:sz w:val="22"/>
          <w:lang w:eastAsia="es-ES"/>
        </w:rPr>
        <w:t xml:space="preserve">OBJETIVO GENERAL </w:t>
      </w:r>
      <w:r>
        <w:rPr>
          <w:rFonts w:eastAsia="Times New Roman" w:cs="Arial"/>
          <w:b/>
          <w:bCs/>
          <w:sz w:val="22"/>
          <w:lang w:eastAsia="es-ES"/>
        </w:rPr>
        <w:t xml:space="preserve">4. </w:t>
      </w:r>
      <w:r w:rsidR="007B3C65" w:rsidRPr="00CB2DCF">
        <w:rPr>
          <w:rFonts w:eastAsia="Times New Roman" w:cs="Arial"/>
          <w:b/>
          <w:bCs/>
          <w:sz w:val="22"/>
          <w:lang w:eastAsia="es-ES"/>
        </w:rPr>
        <w:t>FORTALECIMIENTO DE CAPACIDADES PARA EL USO SEGURO Y RESPONSABLE DE LA BIOTECNOLOGÍA</w:t>
      </w:r>
      <w:r w:rsidR="007B3C65" w:rsidRPr="00CB2DCF">
        <w:rPr>
          <w:rFonts w:cs="Arial"/>
          <w:b/>
          <w:bCs/>
          <w:sz w:val="22"/>
        </w:rPr>
        <w:t xml:space="preserve">. </w:t>
      </w:r>
    </w:p>
    <w:p w:rsidR="007B3C65" w:rsidRPr="00CB2DCF" w:rsidRDefault="007B3C65" w:rsidP="007B3C65">
      <w:pPr>
        <w:jc w:val="both"/>
        <w:rPr>
          <w:rFonts w:ascii="Arial" w:hAnsi="Arial" w:cs="Arial"/>
          <w:sz w:val="22"/>
          <w:szCs w:val="22"/>
        </w:rPr>
      </w:pPr>
    </w:p>
    <w:p w:rsidR="00727AA8" w:rsidRPr="00727AA8" w:rsidRDefault="00727AA8" w:rsidP="00727AA8">
      <w:pPr>
        <w:autoSpaceDE w:val="0"/>
        <w:autoSpaceDN w:val="0"/>
        <w:adjustRightInd w:val="0"/>
        <w:contextualSpacing/>
        <w:jc w:val="both"/>
        <w:rPr>
          <w:rFonts w:ascii="Arial" w:hAnsi="Arial" w:cs="Arial"/>
          <w:sz w:val="22"/>
        </w:rPr>
      </w:pPr>
      <w:r w:rsidRPr="00727AA8">
        <w:rPr>
          <w:rFonts w:ascii="Arial" w:hAnsi="Arial" w:cs="Arial"/>
          <w:sz w:val="22"/>
        </w:rPr>
        <w:t xml:space="preserve">Con intención de fortalecer el conocimiento en bioseguridad de la biotecnología, del 4 al 7 de marzo, se participó, a través de la Dirección General de Educación Superior Tecnológica, con la Secretaría de Educación Pública en la “Reunión Nacional de Consolidación del Programa Educativo de Ingeniería en Biotecnología con Enfoque en Competencias Profesionales”. Durante esta reunión se diseñó los </w:t>
      </w:r>
      <w:proofErr w:type="spellStart"/>
      <w:r w:rsidRPr="00727AA8">
        <w:rPr>
          <w:rFonts w:ascii="Arial" w:hAnsi="Arial" w:cs="Arial"/>
          <w:i/>
          <w:sz w:val="22"/>
        </w:rPr>
        <w:t>currícula</w:t>
      </w:r>
      <w:proofErr w:type="spellEnd"/>
      <w:r w:rsidRPr="00727AA8">
        <w:rPr>
          <w:rFonts w:ascii="Arial" w:hAnsi="Arial" w:cs="Arial"/>
          <w:sz w:val="22"/>
        </w:rPr>
        <w:t xml:space="preserve"> de Ingeniería en Biotecnología para los Institutos Tecnológicos, donde se incluyó la materia de Legislación de la Biotecnología y se impactó lo referente a la bioseguridad de la biotecnología en diversas materias del </w:t>
      </w:r>
      <w:r w:rsidRPr="00727AA8">
        <w:rPr>
          <w:rFonts w:ascii="Arial" w:hAnsi="Arial" w:cs="Arial"/>
          <w:i/>
          <w:sz w:val="22"/>
        </w:rPr>
        <w:t>currículum</w:t>
      </w:r>
      <w:r w:rsidRPr="00727AA8">
        <w:rPr>
          <w:rFonts w:ascii="Arial" w:hAnsi="Arial" w:cs="Arial"/>
          <w:sz w:val="22"/>
        </w:rPr>
        <w:t>. Esta carrera se ha implementado en el Instituto Tecnológico del Llano Aguascalientes para el ciclo escolar 2014.</w:t>
      </w:r>
    </w:p>
    <w:p w:rsidR="005F094E" w:rsidRPr="00CB2DCF" w:rsidRDefault="005F094E" w:rsidP="005F094E">
      <w:pPr>
        <w:jc w:val="both"/>
        <w:rPr>
          <w:rFonts w:ascii="Arial" w:hAnsi="Arial" w:cs="Arial"/>
          <w:b/>
          <w:bCs/>
          <w:sz w:val="22"/>
          <w:szCs w:val="22"/>
        </w:rPr>
      </w:pPr>
    </w:p>
    <w:p w:rsidR="005F094E" w:rsidRDefault="005F094E" w:rsidP="005F094E">
      <w:pPr>
        <w:jc w:val="both"/>
        <w:rPr>
          <w:rFonts w:ascii="Arial" w:hAnsi="Arial" w:cs="Arial"/>
          <w:b/>
          <w:bCs/>
          <w:sz w:val="22"/>
          <w:szCs w:val="22"/>
        </w:rPr>
      </w:pPr>
      <w:r w:rsidRPr="00CB2DCF">
        <w:rPr>
          <w:rFonts w:ascii="Arial" w:hAnsi="Arial" w:cs="Arial"/>
          <w:b/>
          <w:bCs/>
          <w:sz w:val="22"/>
          <w:szCs w:val="22"/>
        </w:rPr>
        <w:t>Actividades de coordinación intersecretarial entre las instancias que conforman la CIBIOGEM</w:t>
      </w:r>
    </w:p>
    <w:p w:rsidR="00432331" w:rsidRPr="00CB2DCF" w:rsidRDefault="00432331" w:rsidP="005F094E">
      <w:pPr>
        <w:jc w:val="both"/>
        <w:rPr>
          <w:rFonts w:ascii="Arial" w:hAnsi="Arial" w:cs="Arial"/>
          <w:b/>
          <w:bCs/>
          <w:sz w:val="22"/>
          <w:szCs w:val="22"/>
        </w:rPr>
      </w:pPr>
    </w:p>
    <w:p w:rsidR="00727AA8" w:rsidRPr="00F01BD2" w:rsidRDefault="00727AA8" w:rsidP="00F01BD2">
      <w:pPr>
        <w:autoSpaceDE w:val="0"/>
        <w:autoSpaceDN w:val="0"/>
        <w:adjustRightInd w:val="0"/>
        <w:contextualSpacing/>
        <w:jc w:val="both"/>
        <w:rPr>
          <w:rFonts w:ascii="Arial" w:hAnsi="Arial" w:cs="Arial"/>
          <w:sz w:val="22"/>
        </w:rPr>
      </w:pPr>
      <w:r w:rsidRPr="00F01BD2">
        <w:rPr>
          <w:rFonts w:ascii="Arial" w:hAnsi="Arial" w:cs="Arial"/>
          <w:sz w:val="22"/>
        </w:rPr>
        <w:t xml:space="preserve">Con fecha 3 de enero de 2014, se publicó en el Diario Oficial de la Federación la NORMA Oficial Mexicana NOM-164-SEMARNAT/SAGARPA-2013 “que establece las características y contenido del reporte de resultados de la o las liberaciones realizadas de organismos genéticamente modificados, en relación con los posibles riesgos para el </w:t>
      </w:r>
      <w:r w:rsidRPr="00F01BD2">
        <w:rPr>
          <w:rFonts w:ascii="Arial" w:hAnsi="Arial" w:cs="Arial"/>
          <w:sz w:val="22"/>
        </w:rPr>
        <w:lastRenderedPageBreak/>
        <w:t>medio ambiente y la diversidad biológica y, adicionalmente, a la sanidad animal, vegetal y acuícola”.</w:t>
      </w:r>
    </w:p>
    <w:p w:rsidR="00727AA8" w:rsidRPr="00F01BD2" w:rsidRDefault="00727AA8" w:rsidP="00F01BD2">
      <w:pPr>
        <w:autoSpaceDE w:val="0"/>
        <w:autoSpaceDN w:val="0"/>
        <w:adjustRightInd w:val="0"/>
        <w:contextualSpacing/>
        <w:jc w:val="both"/>
        <w:rPr>
          <w:rFonts w:ascii="Arial" w:hAnsi="Arial" w:cs="Arial"/>
          <w:sz w:val="22"/>
        </w:rPr>
      </w:pPr>
    </w:p>
    <w:p w:rsidR="00727AA8" w:rsidRPr="00F01BD2" w:rsidRDefault="00727AA8" w:rsidP="00F01BD2">
      <w:pPr>
        <w:autoSpaceDE w:val="0"/>
        <w:autoSpaceDN w:val="0"/>
        <w:adjustRightInd w:val="0"/>
        <w:contextualSpacing/>
        <w:jc w:val="both"/>
        <w:rPr>
          <w:rFonts w:ascii="Arial" w:hAnsi="Arial" w:cs="Arial"/>
          <w:sz w:val="22"/>
        </w:rPr>
      </w:pPr>
      <w:r w:rsidRPr="00F01BD2">
        <w:rPr>
          <w:rFonts w:ascii="Arial" w:hAnsi="Arial" w:cs="Arial"/>
          <w:sz w:val="22"/>
        </w:rPr>
        <w:t xml:space="preserve">En ese sentido y con el objeto de dialogar técnicamente sobre los elementos para el cumplimiento de la NOM; la SEMARNAT llevó a cabo un Taller presencial el 18 y 19 de febrero de 2014. En este taller participó personal de la Secretaría Ejecutiva y se gestionó la participación de dos miembros del CCC. Además el taller contó con la participación de 72 personas (regulados, reguladores y sector social) asistiendo investigadores de INIFAP, IBT, </w:t>
      </w:r>
      <w:proofErr w:type="spellStart"/>
      <w:r w:rsidRPr="00F01BD2">
        <w:rPr>
          <w:rFonts w:ascii="Arial" w:hAnsi="Arial" w:cs="Arial"/>
          <w:sz w:val="22"/>
        </w:rPr>
        <w:t>ColPos</w:t>
      </w:r>
      <w:proofErr w:type="spellEnd"/>
      <w:r w:rsidRPr="00F01BD2">
        <w:rPr>
          <w:rFonts w:ascii="Arial" w:hAnsi="Arial" w:cs="Arial"/>
          <w:sz w:val="22"/>
        </w:rPr>
        <w:t xml:space="preserve">, </w:t>
      </w:r>
      <w:proofErr w:type="spellStart"/>
      <w:r w:rsidRPr="00F01BD2">
        <w:rPr>
          <w:rFonts w:ascii="Arial" w:hAnsi="Arial" w:cs="Arial"/>
          <w:sz w:val="22"/>
        </w:rPr>
        <w:t>UACh</w:t>
      </w:r>
      <w:proofErr w:type="spellEnd"/>
      <w:r w:rsidRPr="00F01BD2">
        <w:rPr>
          <w:rFonts w:ascii="Arial" w:hAnsi="Arial" w:cs="Arial"/>
          <w:sz w:val="22"/>
        </w:rPr>
        <w:t xml:space="preserve">, CIECO, UAM-X, </w:t>
      </w:r>
      <w:proofErr w:type="spellStart"/>
      <w:r w:rsidRPr="00F01BD2">
        <w:rPr>
          <w:rFonts w:ascii="Arial" w:hAnsi="Arial" w:cs="Arial"/>
          <w:sz w:val="22"/>
        </w:rPr>
        <w:t>EcoSur</w:t>
      </w:r>
      <w:proofErr w:type="spellEnd"/>
      <w:r w:rsidRPr="00F01BD2">
        <w:rPr>
          <w:rFonts w:ascii="Arial" w:hAnsi="Arial" w:cs="Arial"/>
          <w:sz w:val="22"/>
        </w:rPr>
        <w:t xml:space="preserve">; expertos técnicos de distintas empresas como: Monsanto México, Pioneer, </w:t>
      </w:r>
      <w:proofErr w:type="spellStart"/>
      <w:r w:rsidRPr="00F01BD2">
        <w:rPr>
          <w:rFonts w:ascii="Arial" w:hAnsi="Arial" w:cs="Arial"/>
          <w:sz w:val="22"/>
        </w:rPr>
        <w:t>Syngenta</w:t>
      </w:r>
      <w:proofErr w:type="spellEnd"/>
      <w:r w:rsidRPr="00F01BD2">
        <w:rPr>
          <w:rFonts w:ascii="Arial" w:hAnsi="Arial" w:cs="Arial"/>
          <w:sz w:val="22"/>
        </w:rPr>
        <w:t xml:space="preserve">, Dow </w:t>
      </w:r>
      <w:proofErr w:type="spellStart"/>
      <w:r w:rsidRPr="00F01BD2">
        <w:rPr>
          <w:rFonts w:ascii="Arial" w:hAnsi="Arial" w:cs="Arial"/>
          <w:sz w:val="22"/>
        </w:rPr>
        <w:t>Agrociences</w:t>
      </w:r>
      <w:proofErr w:type="spellEnd"/>
      <w:r w:rsidRPr="00F01BD2">
        <w:rPr>
          <w:rFonts w:ascii="Arial" w:hAnsi="Arial" w:cs="Arial"/>
          <w:sz w:val="22"/>
        </w:rPr>
        <w:t xml:space="preserve">, </w:t>
      </w:r>
      <w:proofErr w:type="spellStart"/>
      <w:r w:rsidRPr="00F01BD2">
        <w:rPr>
          <w:rFonts w:ascii="Arial" w:hAnsi="Arial" w:cs="Arial"/>
          <w:sz w:val="22"/>
        </w:rPr>
        <w:t>AgroBio</w:t>
      </w:r>
      <w:proofErr w:type="spellEnd"/>
      <w:r w:rsidRPr="00F01BD2">
        <w:rPr>
          <w:rFonts w:ascii="Arial" w:hAnsi="Arial" w:cs="Arial"/>
          <w:sz w:val="22"/>
        </w:rPr>
        <w:t xml:space="preserve">, Bayer y </w:t>
      </w:r>
      <w:proofErr w:type="spellStart"/>
      <w:r w:rsidRPr="00F01BD2">
        <w:rPr>
          <w:rFonts w:ascii="Arial" w:hAnsi="Arial" w:cs="Arial"/>
          <w:sz w:val="22"/>
        </w:rPr>
        <w:t>Forage</w:t>
      </w:r>
      <w:proofErr w:type="spellEnd"/>
      <w:r w:rsidRPr="00F01BD2">
        <w:rPr>
          <w:rFonts w:ascii="Arial" w:hAnsi="Arial" w:cs="Arial"/>
          <w:sz w:val="22"/>
        </w:rPr>
        <w:t xml:space="preserve"> </w:t>
      </w:r>
      <w:proofErr w:type="spellStart"/>
      <w:r w:rsidRPr="00F01BD2">
        <w:rPr>
          <w:rFonts w:ascii="Arial" w:hAnsi="Arial" w:cs="Arial"/>
          <w:sz w:val="22"/>
        </w:rPr>
        <w:t>Genetics</w:t>
      </w:r>
      <w:proofErr w:type="spellEnd"/>
      <w:r w:rsidRPr="00F01BD2">
        <w:rPr>
          <w:rFonts w:ascii="Arial" w:hAnsi="Arial" w:cs="Arial"/>
          <w:sz w:val="22"/>
        </w:rPr>
        <w:t xml:space="preserve">, así como autoridades de SAGARPA, SEMARNAT, PROFEPA, CONABIO, INECC, SNICS, CONANP y el sector social con la asistencia de Baker &amp; </w:t>
      </w:r>
      <w:proofErr w:type="spellStart"/>
      <w:r w:rsidRPr="00F01BD2">
        <w:rPr>
          <w:rFonts w:ascii="Arial" w:hAnsi="Arial" w:cs="Arial"/>
          <w:sz w:val="22"/>
        </w:rPr>
        <w:t>McKenzie</w:t>
      </w:r>
      <w:proofErr w:type="spellEnd"/>
      <w:r w:rsidRPr="00F01BD2">
        <w:rPr>
          <w:rFonts w:ascii="Arial" w:hAnsi="Arial" w:cs="Arial"/>
          <w:sz w:val="22"/>
        </w:rPr>
        <w:t>.</w:t>
      </w:r>
    </w:p>
    <w:p w:rsidR="00727AA8" w:rsidRPr="00F01BD2" w:rsidRDefault="00727AA8" w:rsidP="00F01BD2">
      <w:pPr>
        <w:autoSpaceDE w:val="0"/>
        <w:autoSpaceDN w:val="0"/>
        <w:adjustRightInd w:val="0"/>
        <w:contextualSpacing/>
        <w:jc w:val="both"/>
        <w:rPr>
          <w:rFonts w:ascii="Arial" w:hAnsi="Arial" w:cs="Arial"/>
          <w:sz w:val="22"/>
        </w:rPr>
      </w:pPr>
    </w:p>
    <w:p w:rsidR="00727AA8" w:rsidRPr="00F01BD2" w:rsidRDefault="00727AA8" w:rsidP="00F01BD2">
      <w:pPr>
        <w:autoSpaceDE w:val="0"/>
        <w:autoSpaceDN w:val="0"/>
        <w:adjustRightInd w:val="0"/>
        <w:contextualSpacing/>
        <w:jc w:val="both"/>
        <w:rPr>
          <w:rFonts w:ascii="Arial" w:hAnsi="Arial" w:cs="Arial"/>
          <w:sz w:val="22"/>
        </w:rPr>
      </w:pPr>
      <w:r w:rsidRPr="00F01BD2">
        <w:rPr>
          <w:rFonts w:ascii="Arial" w:hAnsi="Arial" w:cs="Arial"/>
          <w:sz w:val="22"/>
        </w:rPr>
        <w:t>Anteproyecto de Norma Oficial Mexicana NOM-001-SAG/BIO-2014 “Especificaciones generales de etiquetado de organismos genéticamente modificados que sean semillas o material vegetativo destinados a siembra, cultivo y producción agrícola. Con fecha 18 de noviembre de 2014, el Comité Consultivo Nacional de Normalización Agroalimentaria de la SAGARPA, aprobó publicar en el DOF la respuesta a comentarios derivados de la consulta pública, así como la publicación definitiva de la NOM.</w:t>
      </w:r>
    </w:p>
    <w:p w:rsidR="00727AA8" w:rsidRPr="00F01BD2" w:rsidRDefault="00727AA8" w:rsidP="00F01BD2">
      <w:pPr>
        <w:autoSpaceDE w:val="0"/>
        <w:autoSpaceDN w:val="0"/>
        <w:adjustRightInd w:val="0"/>
        <w:contextualSpacing/>
        <w:jc w:val="both"/>
        <w:rPr>
          <w:rFonts w:ascii="Arial" w:hAnsi="Arial" w:cs="Arial"/>
          <w:sz w:val="22"/>
        </w:rPr>
      </w:pPr>
    </w:p>
    <w:p w:rsidR="00727AA8" w:rsidRPr="00F01BD2" w:rsidRDefault="00727AA8" w:rsidP="00F01BD2">
      <w:pPr>
        <w:autoSpaceDE w:val="0"/>
        <w:autoSpaceDN w:val="0"/>
        <w:adjustRightInd w:val="0"/>
        <w:contextualSpacing/>
        <w:jc w:val="both"/>
        <w:rPr>
          <w:rFonts w:ascii="Arial" w:hAnsi="Arial" w:cs="Arial"/>
          <w:sz w:val="22"/>
        </w:rPr>
      </w:pPr>
      <w:r w:rsidRPr="00F01BD2">
        <w:rPr>
          <w:rFonts w:ascii="Arial" w:hAnsi="Arial" w:cs="Arial"/>
          <w:sz w:val="22"/>
        </w:rPr>
        <w:t>La Secretaría Ejecutiva coordinó y dio seguimiento a las actividades de los diferentes Subcomités y Grupos de Trabajo de la CIBIOGEM como se indica a continuación:</w:t>
      </w:r>
    </w:p>
    <w:p w:rsidR="00727AA8" w:rsidRDefault="00727AA8" w:rsidP="00727AA8">
      <w:pPr>
        <w:pStyle w:val="Prrafodelista"/>
        <w:ind w:left="720"/>
        <w:jc w:val="both"/>
        <w:rPr>
          <w:rFonts w:cs="Arial"/>
          <w:sz w:val="20"/>
          <w:szCs w:val="20"/>
          <w:lang w:val="es-ES"/>
        </w:rPr>
      </w:pPr>
    </w:p>
    <w:p w:rsidR="00F01BD2" w:rsidRPr="00891B51" w:rsidRDefault="00727AA8" w:rsidP="00F01BD2">
      <w:pPr>
        <w:pStyle w:val="Prrafodelista"/>
        <w:numPr>
          <w:ilvl w:val="0"/>
          <w:numId w:val="12"/>
        </w:numPr>
        <w:jc w:val="both"/>
        <w:rPr>
          <w:rFonts w:cs="Arial"/>
          <w:sz w:val="18"/>
          <w:szCs w:val="20"/>
          <w:lang w:val="es-ES"/>
        </w:rPr>
      </w:pPr>
      <w:r w:rsidRPr="00891B51">
        <w:rPr>
          <w:rFonts w:cs="Arial"/>
          <w:sz w:val="22"/>
          <w:lang w:val="es-ES"/>
        </w:rPr>
        <w:t xml:space="preserve">El Grupo de Trabajo de Reguladores/ Evaluadores Técnicos (GT-RET), a la fecha, ha realizado dos sesiones (23 de enero y el 20 de febrero). El Grupo </w:t>
      </w:r>
      <w:r w:rsidR="00F01BD2" w:rsidRPr="00891B51">
        <w:rPr>
          <w:rFonts w:cs="Arial"/>
          <w:sz w:val="22"/>
          <w:lang w:val="es-ES"/>
        </w:rPr>
        <w:t>realizo</w:t>
      </w:r>
      <w:r w:rsidRPr="00891B51">
        <w:rPr>
          <w:rFonts w:cs="Arial"/>
          <w:sz w:val="22"/>
          <w:lang w:val="es-ES"/>
        </w:rPr>
        <w:t xml:space="preserve"> actividades </w:t>
      </w:r>
      <w:r w:rsidR="00F01BD2" w:rsidRPr="00891B51">
        <w:rPr>
          <w:rFonts w:cs="Arial"/>
          <w:sz w:val="22"/>
          <w:lang w:val="es-ES"/>
        </w:rPr>
        <w:t xml:space="preserve">asociadas al marco de la Organización de Cooperación para el Desarrollo Económico (OCDE) </w:t>
      </w:r>
      <w:r w:rsidRPr="00891B51">
        <w:rPr>
          <w:rFonts w:cs="Arial"/>
          <w:sz w:val="22"/>
          <w:lang w:val="es-ES"/>
        </w:rPr>
        <w:t xml:space="preserve">durante este periodo </w:t>
      </w:r>
    </w:p>
    <w:p w:rsidR="00F01BD2" w:rsidRPr="00891B51" w:rsidRDefault="00F01BD2" w:rsidP="00F01BD2">
      <w:pPr>
        <w:pStyle w:val="Prrafodelista"/>
        <w:ind w:left="720"/>
        <w:jc w:val="both"/>
        <w:rPr>
          <w:rFonts w:cs="Arial"/>
          <w:sz w:val="18"/>
          <w:szCs w:val="20"/>
          <w:lang w:val="es-ES"/>
        </w:rPr>
      </w:pPr>
    </w:p>
    <w:p w:rsidR="00DF0CF9" w:rsidRPr="00DF0CF9" w:rsidRDefault="00F01BD2" w:rsidP="00DF0CF9">
      <w:pPr>
        <w:pStyle w:val="Prrafodelista"/>
        <w:numPr>
          <w:ilvl w:val="0"/>
          <w:numId w:val="12"/>
        </w:numPr>
        <w:jc w:val="both"/>
        <w:rPr>
          <w:rFonts w:cs="Arial"/>
          <w:color w:val="262626" w:themeColor="text1" w:themeTint="D9"/>
          <w:sz w:val="22"/>
          <w:lang w:val="es-ES"/>
        </w:rPr>
      </w:pPr>
      <w:r w:rsidRPr="00DF0CF9">
        <w:rPr>
          <w:rFonts w:cs="Arial"/>
          <w:sz w:val="22"/>
          <w:lang w:val="es-ES"/>
        </w:rPr>
        <w:t xml:space="preserve">El </w:t>
      </w:r>
      <w:r w:rsidR="00727AA8" w:rsidRPr="00DF0CF9">
        <w:rPr>
          <w:rFonts w:cs="Arial"/>
          <w:sz w:val="22"/>
          <w:lang w:val="es-ES"/>
        </w:rPr>
        <w:t xml:space="preserve">Grupo de Trabajo sobre Presencia en Bajos Niveles </w:t>
      </w:r>
      <w:r w:rsidRPr="00DF0CF9">
        <w:rPr>
          <w:rFonts w:cs="Arial"/>
          <w:sz w:val="22"/>
          <w:lang w:val="es-ES"/>
        </w:rPr>
        <w:t>y Presencia Adventicia (GT-LLP), d</w:t>
      </w:r>
      <w:r w:rsidR="00727AA8" w:rsidRPr="00DF0CF9">
        <w:rPr>
          <w:rFonts w:cs="Arial"/>
          <w:sz w:val="22"/>
          <w:lang w:val="es-ES"/>
        </w:rPr>
        <w:t xml:space="preserve">urante el periodo ha tenido </w:t>
      </w:r>
      <w:r w:rsidRPr="00DF0CF9">
        <w:rPr>
          <w:rFonts w:cs="Arial"/>
          <w:sz w:val="22"/>
          <w:lang w:val="es-ES"/>
        </w:rPr>
        <w:t>nueve</w:t>
      </w:r>
      <w:r w:rsidR="00727AA8" w:rsidRPr="00DF0CF9">
        <w:rPr>
          <w:rFonts w:cs="Arial"/>
          <w:sz w:val="22"/>
          <w:lang w:val="es-ES"/>
        </w:rPr>
        <w:t xml:space="preserve"> sesiones (8 de enero, 29 de enero, 17 de febrero, 11 de marzo, 15 de mayo, 11 de julio y 6 de agosto</w:t>
      </w:r>
      <w:r w:rsidRPr="00DF0CF9">
        <w:rPr>
          <w:rFonts w:cs="Arial"/>
          <w:sz w:val="22"/>
          <w:lang w:val="es-ES"/>
        </w:rPr>
        <w:t>, 12 de noviembre y 17 de diciembre</w:t>
      </w:r>
      <w:r w:rsidR="00727AA8" w:rsidRPr="00DF0CF9">
        <w:rPr>
          <w:rFonts w:cs="Arial"/>
          <w:sz w:val="22"/>
          <w:lang w:val="es-ES"/>
        </w:rPr>
        <w:t>), durante dichas reuniones se han desarrollados actividades asociadas a los siguientes temas:</w:t>
      </w:r>
      <w:r w:rsidR="00432331" w:rsidRPr="00DF0CF9">
        <w:rPr>
          <w:rFonts w:cs="Arial"/>
          <w:sz w:val="22"/>
          <w:lang w:val="es-ES"/>
        </w:rPr>
        <w:t xml:space="preserve"> </w:t>
      </w:r>
      <w:r w:rsidR="00432331" w:rsidRPr="00DF0CF9">
        <w:rPr>
          <w:rFonts w:cs="Arial"/>
          <w:color w:val="262626" w:themeColor="text1" w:themeTint="D9"/>
          <w:sz w:val="22"/>
          <w:lang w:val="es-ES"/>
        </w:rPr>
        <w:t>Acuerdo de Asociación Transpacífico (TPP) con el Análisis del documento “</w:t>
      </w:r>
      <w:proofErr w:type="spellStart"/>
      <w:r w:rsidR="00432331" w:rsidRPr="00DF0CF9">
        <w:rPr>
          <w:rFonts w:cs="Arial"/>
          <w:color w:val="262626" w:themeColor="text1" w:themeTint="D9"/>
          <w:sz w:val="22"/>
          <w:lang w:val="es-ES"/>
        </w:rPr>
        <w:t>Guiding</w:t>
      </w:r>
      <w:proofErr w:type="spellEnd"/>
      <w:r w:rsidR="00432331" w:rsidRPr="00DF0CF9">
        <w:rPr>
          <w:rFonts w:cs="Arial"/>
          <w:color w:val="262626" w:themeColor="text1" w:themeTint="D9"/>
          <w:sz w:val="22"/>
          <w:lang w:val="es-ES"/>
        </w:rPr>
        <w:t xml:space="preserve"> </w:t>
      </w:r>
      <w:proofErr w:type="spellStart"/>
      <w:r w:rsidR="00432331" w:rsidRPr="00DF0CF9">
        <w:rPr>
          <w:rFonts w:cs="Arial"/>
          <w:color w:val="262626" w:themeColor="text1" w:themeTint="D9"/>
          <w:sz w:val="22"/>
          <w:lang w:val="es-ES"/>
        </w:rPr>
        <w:t>Principles</w:t>
      </w:r>
      <w:proofErr w:type="spellEnd"/>
      <w:r w:rsidR="00432331" w:rsidRPr="00DF0CF9">
        <w:rPr>
          <w:rFonts w:cs="Arial"/>
          <w:color w:val="262626" w:themeColor="text1" w:themeTint="D9"/>
          <w:sz w:val="22"/>
          <w:lang w:val="es-ES"/>
        </w:rPr>
        <w:t xml:space="preserve"> </w:t>
      </w:r>
      <w:proofErr w:type="spellStart"/>
      <w:r w:rsidR="00432331" w:rsidRPr="00DF0CF9">
        <w:rPr>
          <w:rFonts w:cs="Arial"/>
          <w:color w:val="262626" w:themeColor="text1" w:themeTint="D9"/>
          <w:sz w:val="22"/>
          <w:lang w:val="es-ES"/>
        </w:rPr>
        <w:t>for</w:t>
      </w:r>
      <w:proofErr w:type="spellEnd"/>
      <w:r w:rsidR="00432331" w:rsidRPr="00DF0CF9">
        <w:rPr>
          <w:rFonts w:cs="Arial"/>
          <w:color w:val="262626" w:themeColor="text1" w:themeTint="D9"/>
          <w:sz w:val="22"/>
          <w:lang w:val="es-ES"/>
        </w:rPr>
        <w:t xml:space="preserve"> </w:t>
      </w:r>
      <w:proofErr w:type="spellStart"/>
      <w:r w:rsidR="00432331" w:rsidRPr="00DF0CF9">
        <w:rPr>
          <w:rFonts w:cs="Arial"/>
          <w:color w:val="262626" w:themeColor="text1" w:themeTint="D9"/>
          <w:sz w:val="22"/>
          <w:lang w:val="es-ES"/>
        </w:rPr>
        <w:t>Moving</w:t>
      </w:r>
      <w:proofErr w:type="spellEnd"/>
      <w:r w:rsidR="00432331" w:rsidRPr="00DF0CF9">
        <w:rPr>
          <w:rFonts w:cs="Arial"/>
          <w:color w:val="262626" w:themeColor="text1" w:themeTint="D9"/>
          <w:sz w:val="22"/>
          <w:lang w:val="es-ES"/>
        </w:rPr>
        <w:t xml:space="preserve"> Forward </w:t>
      </w:r>
      <w:proofErr w:type="spellStart"/>
      <w:r w:rsidR="00432331" w:rsidRPr="00DF0CF9">
        <w:rPr>
          <w:rFonts w:cs="Arial"/>
          <w:color w:val="262626" w:themeColor="text1" w:themeTint="D9"/>
          <w:sz w:val="22"/>
          <w:lang w:val="es-ES"/>
        </w:rPr>
        <w:t>on</w:t>
      </w:r>
      <w:proofErr w:type="spellEnd"/>
      <w:r w:rsidR="00432331" w:rsidRPr="00DF0CF9">
        <w:rPr>
          <w:rFonts w:cs="Arial"/>
          <w:color w:val="262626" w:themeColor="text1" w:themeTint="D9"/>
          <w:sz w:val="22"/>
          <w:lang w:val="es-ES"/>
        </w:rPr>
        <w:t xml:space="preserve"> </w:t>
      </w:r>
      <w:proofErr w:type="spellStart"/>
      <w:r w:rsidR="00432331" w:rsidRPr="00DF0CF9">
        <w:rPr>
          <w:rFonts w:cs="Arial"/>
          <w:color w:val="262626" w:themeColor="text1" w:themeTint="D9"/>
          <w:sz w:val="22"/>
          <w:lang w:val="es-ES"/>
        </w:rPr>
        <w:t>Biotecnology</w:t>
      </w:r>
      <w:proofErr w:type="spellEnd"/>
      <w:r w:rsidR="00432331" w:rsidRPr="00DF0CF9">
        <w:rPr>
          <w:rFonts w:cs="Arial"/>
          <w:color w:val="262626" w:themeColor="text1" w:themeTint="D9"/>
          <w:sz w:val="22"/>
          <w:lang w:val="es-ES"/>
        </w:rPr>
        <w:t xml:space="preserve"> </w:t>
      </w:r>
      <w:proofErr w:type="spellStart"/>
      <w:r w:rsidR="00432331" w:rsidRPr="00DF0CF9">
        <w:rPr>
          <w:rFonts w:cs="Arial"/>
          <w:color w:val="262626" w:themeColor="text1" w:themeTint="D9"/>
          <w:sz w:val="22"/>
          <w:lang w:val="es-ES"/>
        </w:rPr>
        <w:t>Provisions</w:t>
      </w:r>
      <w:proofErr w:type="spellEnd"/>
      <w:r w:rsidR="00432331" w:rsidRPr="00DF0CF9">
        <w:rPr>
          <w:rFonts w:cs="Arial"/>
          <w:color w:val="262626" w:themeColor="text1" w:themeTint="D9"/>
          <w:sz w:val="22"/>
          <w:lang w:val="es-ES"/>
        </w:rPr>
        <w:t xml:space="preserve"> in </w:t>
      </w:r>
      <w:proofErr w:type="spellStart"/>
      <w:r w:rsidR="00432331" w:rsidRPr="00DF0CF9">
        <w:rPr>
          <w:rFonts w:cs="Arial"/>
          <w:color w:val="262626" w:themeColor="text1" w:themeTint="D9"/>
          <w:sz w:val="22"/>
          <w:lang w:val="es-ES"/>
        </w:rPr>
        <w:t>the</w:t>
      </w:r>
      <w:proofErr w:type="spellEnd"/>
      <w:r w:rsidR="00432331" w:rsidRPr="00DF0CF9">
        <w:rPr>
          <w:rFonts w:cs="Arial"/>
          <w:color w:val="262626" w:themeColor="text1" w:themeTint="D9"/>
          <w:sz w:val="22"/>
          <w:lang w:val="es-ES"/>
        </w:rPr>
        <w:t xml:space="preserve"> TTP </w:t>
      </w:r>
      <w:proofErr w:type="spellStart"/>
      <w:r w:rsidR="00432331" w:rsidRPr="00DF0CF9">
        <w:rPr>
          <w:rFonts w:cs="Arial"/>
          <w:color w:val="262626" w:themeColor="text1" w:themeTint="D9"/>
          <w:sz w:val="22"/>
          <w:lang w:val="es-ES"/>
        </w:rPr>
        <w:t>Agreement</w:t>
      </w:r>
      <w:proofErr w:type="spellEnd"/>
      <w:r w:rsidR="00432331" w:rsidRPr="00DF0CF9">
        <w:rPr>
          <w:rFonts w:cs="Arial"/>
          <w:color w:val="262626" w:themeColor="text1" w:themeTint="D9"/>
          <w:sz w:val="22"/>
          <w:lang w:val="es-ES"/>
        </w:rPr>
        <w:t xml:space="preserve">”. Se envió la solicitud de México como </w:t>
      </w:r>
      <w:proofErr w:type="spellStart"/>
      <w:r w:rsidR="00432331" w:rsidRPr="00DF0CF9">
        <w:rPr>
          <w:rFonts w:cs="Arial"/>
          <w:color w:val="262626" w:themeColor="text1" w:themeTint="D9"/>
          <w:sz w:val="22"/>
          <w:lang w:val="es-ES"/>
        </w:rPr>
        <w:t>co</w:t>
      </w:r>
      <w:proofErr w:type="spellEnd"/>
      <w:r w:rsidR="00432331" w:rsidRPr="00DF0CF9">
        <w:rPr>
          <w:rFonts w:cs="Arial"/>
          <w:color w:val="262626" w:themeColor="text1" w:themeTint="D9"/>
          <w:sz w:val="22"/>
          <w:lang w:val="es-ES"/>
        </w:rPr>
        <w:t>-patrocinador en la propuesta de Rusia en el marco del Asia-</w:t>
      </w:r>
      <w:proofErr w:type="spellStart"/>
      <w:r w:rsidR="00432331" w:rsidRPr="00DF0CF9">
        <w:rPr>
          <w:rFonts w:cs="Arial"/>
          <w:color w:val="262626" w:themeColor="text1" w:themeTint="D9"/>
          <w:sz w:val="22"/>
          <w:lang w:val="es-ES"/>
        </w:rPr>
        <w:t>Pacific</w:t>
      </w:r>
      <w:proofErr w:type="spellEnd"/>
      <w:r w:rsidR="00432331" w:rsidRPr="00DF0CF9">
        <w:rPr>
          <w:rFonts w:cs="Arial"/>
          <w:color w:val="262626" w:themeColor="text1" w:themeTint="D9"/>
          <w:sz w:val="22"/>
          <w:lang w:val="es-ES"/>
        </w:rPr>
        <w:t xml:space="preserve"> </w:t>
      </w:r>
      <w:proofErr w:type="spellStart"/>
      <w:r w:rsidR="00432331" w:rsidRPr="00DF0CF9">
        <w:rPr>
          <w:rFonts w:cs="Arial"/>
          <w:color w:val="262626" w:themeColor="text1" w:themeTint="D9"/>
          <w:sz w:val="22"/>
          <w:lang w:val="es-ES"/>
        </w:rPr>
        <w:t>Economic</w:t>
      </w:r>
      <w:proofErr w:type="spellEnd"/>
      <w:r w:rsidR="00432331" w:rsidRPr="00DF0CF9">
        <w:rPr>
          <w:rFonts w:cs="Arial"/>
          <w:color w:val="262626" w:themeColor="text1" w:themeTint="D9"/>
          <w:sz w:val="22"/>
          <w:lang w:val="es-ES"/>
        </w:rPr>
        <w:t xml:space="preserve"> </w:t>
      </w:r>
      <w:proofErr w:type="spellStart"/>
      <w:r w:rsidR="00432331" w:rsidRPr="00DF0CF9">
        <w:rPr>
          <w:rFonts w:cs="Arial"/>
          <w:color w:val="262626" w:themeColor="text1" w:themeTint="D9"/>
          <w:sz w:val="22"/>
          <w:lang w:val="es-ES"/>
        </w:rPr>
        <w:t>Cooperation</w:t>
      </w:r>
      <w:proofErr w:type="spellEnd"/>
      <w:r w:rsidR="00432331" w:rsidRPr="00DF0CF9">
        <w:rPr>
          <w:rFonts w:cs="Arial"/>
          <w:color w:val="262626" w:themeColor="text1" w:themeTint="D9"/>
          <w:sz w:val="22"/>
          <w:lang w:val="es-ES"/>
        </w:rPr>
        <w:t xml:space="preserve"> (APEC). </w:t>
      </w:r>
      <w:r w:rsidR="00DF0CF9" w:rsidRPr="00DF0CF9">
        <w:rPr>
          <w:rFonts w:cs="Arial"/>
          <w:color w:val="262626" w:themeColor="text1" w:themeTint="D9"/>
          <w:sz w:val="22"/>
          <w:lang w:val="es-ES"/>
        </w:rPr>
        <w:t xml:space="preserve">En colaboración con la SAGARPA, personal de la Secretaría Ejecutiva participó en la Reunión de la FAO en seguimiento al tema de </w:t>
      </w:r>
      <w:proofErr w:type="spellStart"/>
      <w:r w:rsidR="00DF0CF9" w:rsidRPr="00DF0CF9">
        <w:rPr>
          <w:rFonts w:cs="Arial"/>
          <w:color w:val="262626" w:themeColor="text1" w:themeTint="D9"/>
          <w:sz w:val="22"/>
          <w:lang w:val="es-ES"/>
        </w:rPr>
        <w:t>Low</w:t>
      </w:r>
      <w:proofErr w:type="spellEnd"/>
      <w:r w:rsidR="00DF0CF9" w:rsidRPr="00DF0CF9">
        <w:rPr>
          <w:rFonts w:cs="Arial"/>
          <w:color w:val="262626" w:themeColor="text1" w:themeTint="D9"/>
          <w:sz w:val="22"/>
          <w:lang w:val="es-ES"/>
        </w:rPr>
        <w:t xml:space="preserve"> </w:t>
      </w:r>
      <w:proofErr w:type="spellStart"/>
      <w:r w:rsidR="00DF0CF9" w:rsidRPr="00DF0CF9">
        <w:rPr>
          <w:rFonts w:cs="Arial"/>
          <w:color w:val="262626" w:themeColor="text1" w:themeTint="D9"/>
          <w:sz w:val="22"/>
          <w:lang w:val="es-ES"/>
        </w:rPr>
        <w:t>Level</w:t>
      </w:r>
      <w:proofErr w:type="spellEnd"/>
      <w:r w:rsidR="00DF0CF9" w:rsidRPr="00DF0CF9">
        <w:rPr>
          <w:rFonts w:cs="Arial"/>
          <w:color w:val="262626" w:themeColor="text1" w:themeTint="D9"/>
          <w:sz w:val="22"/>
          <w:lang w:val="es-ES"/>
        </w:rPr>
        <w:t xml:space="preserve"> </w:t>
      </w:r>
      <w:proofErr w:type="spellStart"/>
      <w:r w:rsidR="00DF0CF9" w:rsidRPr="00DF0CF9">
        <w:rPr>
          <w:rFonts w:cs="Arial"/>
          <w:color w:val="262626" w:themeColor="text1" w:themeTint="D9"/>
          <w:sz w:val="22"/>
          <w:lang w:val="es-ES"/>
        </w:rPr>
        <w:t>Presence</w:t>
      </w:r>
      <w:proofErr w:type="spellEnd"/>
      <w:r w:rsidR="00DF0CF9" w:rsidRPr="00DF0CF9">
        <w:rPr>
          <w:rFonts w:cs="Arial"/>
          <w:color w:val="262626" w:themeColor="text1" w:themeTint="D9"/>
          <w:sz w:val="22"/>
          <w:lang w:val="es-ES"/>
        </w:rPr>
        <w:t>, realizada en Roma el 20 y 21 de marzo de 2014. Paralelamente se dio seguimiento a las actividades de la Iniciativa Global (GLI) al reunirse con los países que integran dicha iniciativa. Entre las actividades se confirmó que México será sede de la reunión de la GLI del 2014.</w:t>
      </w:r>
    </w:p>
    <w:p w:rsidR="00727AA8" w:rsidRPr="00891B51" w:rsidRDefault="00727AA8" w:rsidP="00727AA8">
      <w:pPr>
        <w:pStyle w:val="Prrafodelista"/>
        <w:ind w:left="1440"/>
        <w:jc w:val="both"/>
        <w:rPr>
          <w:rFonts w:cs="Arial"/>
          <w:sz w:val="18"/>
          <w:szCs w:val="20"/>
          <w:lang w:val="es-ES"/>
        </w:rPr>
      </w:pPr>
    </w:p>
    <w:p w:rsidR="00727AA8" w:rsidRPr="00432331" w:rsidRDefault="00727AA8" w:rsidP="00432331">
      <w:pPr>
        <w:pStyle w:val="Prrafodelista"/>
        <w:numPr>
          <w:ilvl w:val="0"/>
          <w:numId w:val="12"/>
        </w:numPr>
        <w:jc w:val="both"/>
        <w:rPr>
          <w:rFonts w:cs="Arial"/>
          <w:sz w:val="22"/>
          <w:lang w:val="es-ES"/>
        </w:rPr>
      </w:pPr>
      <w:r w:rsidRPr="00432331">
        <w:rPr>
          <w:rFonts w:cs="Arial"/>
          <w:sz w:val="22"/>
          <w:lang w:val="es-ES"/>
        </w:rPr>
        <w:t>Grupo de Trabajo de expertos de México (GT-Aedes) para colaborar en la elaboración del “</w:t>
      </w:r>
      <w:proofErr w:type="spellStart"/>
      <w:r w:rsidRPr="00432331">
        <w:rPr>
          <w:rFonts w:cs="Arial"/>
          <w:sz w:val="22"/>
          <w:lang w:val="es-ES"/>
        </w:rPr>
        <w:t>Consensus</w:t>
      </w:r>
      <w:proofErr w:type="spellEnd"/>
      <w:r w:rsidRPr="00432331">
        <w:rPr>
          <w:rFonts w:cs="Arial"/>
          <w:sz w:val="22"/>
          <w:lang w:val="es-ES"/>
        </w:rPr>
        <w:t xml:space="preserve"> </w:t>
      </w:r>
      <w:proofErr w:type="spellStart"/>
      <w:r w:rsidRPr="00432331">
        <w:rPr>
          <w:rFonts w:cs="Arial"/>
          <w:sz w:val="22"/>
          <w:lang w:val="es-ES"/>
        </w:rPr>
        <w:t>document</w:t>
      </w:r>
      <w:proofErr w:type="spellEnd"/>
      <w:r w:rsidRPr="00432331">
        <w:rPr>
          <w:rFonts w:cs="Arial"/>
          <w:sz w:val="22"/>
          <w:lang w:val="es-ES"/>
        </w:rPr>
        <w:t xml:space="preserve"> </w:t>
      </w:r>
      <w:proofErr w:type="spellStart"/>
      <w:r w:rsidRPr="00432331">
        <w:rPr>
          <w:rFonts w:cs="Arial"/>
          <w:sz w:val="22"/>
          <w:lang w:val="es-ES"/>
        </w:rPr>
        <w:t>on</w:t>
      </w:r>
      <w:proofErr w:type="spellEnd"/>
      <w:r w:rsidRPr="00432331">
        <w:rPr>
          <w:rFonts w:cs="Arial"/>
          <w:sz w:val="22"/>
          <w:lang w:val="es-ES"/>
        </w:rPr>
        <w:t xml:space="preserve"> </w:t>
      </w:r>
      <w:proofErr w:type="spellStart"/>
      <w:r w:rsidRPr="00432331">
        <w:rPr>
          <w:rFonts w:cs="Arial"/>
          <w:sz w:val="22"/>
          <w:lang w:val="es-ES"/>
        </w:rPr>
        <w:t>the</w:t>
      </w:r>
      <w:proofErr w:type="spellEnd"/>
      <w:r w:rsidRPr="00432331">
        <w:rPr>
          <w:rFonts w:cs="Arial"/>
          <w:sz w:val="22"/>
          <w:lang w:val="es-ES"/>
        </w:rPr>
        <w:t xml:space="preserve"> </w:t>
      </w:r>
      <w:proofErr w:type="spellStart"/>
      <w:r w:rsidRPr="00432331">
        <w:rPr>
          <w:rFonts w:cs="Arial"/>
          <w:sz w:val="22"/>
          <w:lang w:val="es-ES"/>
        </w:rPr>
        <w:t>biology</w:t>
      </w:r>
      <w:proofErr w:type="spellEnd"/>
      <w:r w:rsidRPr="00432331">
        <w:rPr>
          <w:rFonts w:cs="Arial"/>
          <w:sz w:val="22"/>
          <w:lang w:val="es-ES"/>
        </w:rPr>
        <w:t xml:space="preserve"> of Aedes </w:t>
      </w:r>
      <w:proofErr w:type="spellStart"/>
      <w:r w:rsidRPr="00432331">
        <w:rPr>
          <w:rFonts w:cs="Arial"/>
          <w:sz w:val="22"/>
          <w:lang w:val="es-ES"/>
        </w:rPr>
        <w:t>aegypti</w:t>
      </w:r>
      <w:proofErr w:type="spellEnd"/>
      <w:r w:rsidRPr="00432331">
        <w:rPr>
          <w:rFonts w:cs="Arial"/>
          <w:sz w:val="22"/>
          <w:lang w:val="es-ES"/>
        </w:rPr>
        <w:t xml:space="preserve">, en el marco de las actividades del </w:t>
      </w:r>
      <w:proofErr w:type="spellStart"/>
      <w:r w:rsidRPr="00432331">
        <w:rPr>
          <w:rFonts w:cs="Arial"/>
          <w:sz w:val="22"/>
          <w:lang w:val="es-ES"/>
        </w:rPr>
        <w:t>Working</w:t>
      </w:r>
      <w:proofErr w:type="spellEnd"/>
      <w:r w:rsidRPr="00432331">
        <w:rPr>
          <w:rFonts w:cs="Arial"/>
          <w:sz w:val="22"/>
          <w:lang w:val="es-ES"/>
        </w:rPr>
        <w:t xml:space="preserve"> </w:t>
      </w:r>
      <w:proofErr w:type="spellStart"/>
      <w:r w:rsidRPr="00432331">
        <w:rPr>
          <w:rFonts w:cs="Arial"/>
          <w:sz w:val="22"/>
          <w:lang w:val="es-ES"/>
        </w:rPr>
        <w:t>Group</w:t>
      </w:r>
      <w:proofErr w:type="spellEnd"/>
      <w:r w:rsidRPr="00432331">
        <w:rPr>
          <w:rFonts w:cs="Arial"/>
          <w:sz w:val="22"/>
          <w:lang w:val="es-ES"/>
        </w:rPr>
        <w:t xml:space="preserve"> </w:t>
      </w:r>
      <w:proofErr w:type="spellStart"/>
      <w:r w:rsidRPr="00432331">
        <w:rPr>
          <w:rFonts w:cs="Arial"/>
          <w:sz w:val="22"/>
          <w:lang w:val="es-ES"/>
        </w:rPr>
        <w:t>on</w:t>
      </w:r>
      <w:proofErr w:type="spellEnd"/>
      <w:r w:rsidRPr="00432331">
        <w:rPr>
          <w:rFonts w:cs="Arial"/>
          <w:sz w:val="22"/>
          <w:lang w:val="es-ES"/>
        </w:rPr>
        <w:t xml:space="preserve"> </w:t>
      </w:r>
      <w:proofErr w:type="spellStart"/>
      <w:r w:rsidRPr="00432331">
        <w:rPr>
          <w:rFonts w:cs="Arial"/>
          <w:sz w:val="22"/>
          <w:lang w:val="es-ES"/>
        </w:rPr>
        <w:t>the</w:t>
      </w:r>
      <w:proofErr w:type="spellEnd"/>
      <w:r w:rsidRPr="00432331">
        <w:rPr>
          <w:rFonts w:cs="Arial"/>
          <w:sz w:val="22"/>
          <w:lang w:val="es-ES"/>
        </w:rPr>
        <w:t xml:space="preserve"> </w:t>
      </w:r>
      <w:proofErr w:type="spellStart"/>
      <w:r w:rsidRPr="00432331">
        <w:rPr>
          <w:rFonts w:cs="Arial"/>
          <w:sz w:val="22"/>
          <w:lang w:val="es-ES"/>
        </w:rPr>
        <w:t>Harmonisation</w:t>
      </w:r>
      <w:proofErr w:type="spellEnd"/>
      <w:r w:rsidRPr="00432331">
        <w:rPr>
          <w:rFonts w:cs="Arial"/>
          <w:sz w:val="22"/>
          <w:lang w:val="es-ES"/>
        </w:rPr>
        <w:t xml:space="preserve"> of </w:t>
      </w:r>
      <w:proofErr w:type="spellStart"/>
      <w:r w:rsidRPr="00432331">
        <w:rPr>
          <w:rFonts w:cs="Arial"/>
          <w:sz w:val="22"/>
          <w:lang w:val="es-ES"/>
        </w:rPr>
        <w:t>Regulatory</w:t>
      </w:r>
      <w:proofErr w:type="spellEnd"/>
      <w:r w:rsidRPr="00432331">
        <w:rPr>
          <w:rFonts w:cs="Arial"/>
          <w:sz w:val="22"/>
          <w:lang w:val="es-ES"/>
        </w:rPr>
        <w:t xml:space="preserve"> </w:t>
      </w:r>
      <w:proofErr w:type="spellStart"/>
      <w:r w:rsidRPr="00432331">
        <w:rPr>
          <w:rFonts w:cs="Arial"/>
          <w:sz w:val="22"/>
          <w:lang w:val="es-ES"/>
        </w:rPr>
        <w:t>Oversight</w:t>
      </w:r>
      <w:proofErr w:type="spellEnd"/>
      <w:r w:rsidRPr="00432331">
        <w:rPr>
          <w:rFonts w:cs="Arial"/>
          <w:sz w:val="22"/>
          <w:lang w:val="es-ES"/>
        </w:rPr>
        <w:t xml:space="preserve"> in </w:t>
      </w:r>
      <w:proofErr w:type="spellStart"/>
      <w:r w:rsidRPr="00432331">
        <w:rPr>
          <w:rFonts w:cs="Arial"/>
          <w:sz w:val="22"/>
          <w:lang w:val="es-ES"/>
        </w:rPr>
        <w:t>Biotechnology</w:t>
      </w:r>
      <w:proofErr w:type="spellEnd"/>
      <w:r w:rsidRPr="00432331">
        <w:rPr>
          <w:rFonts w:cs="Arial"/>
          <w:sz w:val="22"/>
          <w:lang w:val="es-ES"/>
        </w:rPr>
        <w:t>. Durante la reunión de WG- OECD realizada en febrero 2014 se avaló la realización del “</w:t>
      </w:r>
      <w:proofErr w:type="spellStart"/>
      <w:r w:rsidRPr="00432331">
        <w:rPr>
          <w:rFonts w:cs="Arial"/>
          <w:sz w:val="22"/>
          <w:lang w:val="es-ES"/>
        </w:rPr>
        <w:t>Expert</w:t>
      </w:r>
      <w:proofErr w:type="spellEnd"/>
      <w:r w:rsidRPr="00432331">
        <w:rPr>
          <w:rFonts w:cs="Arial"/>
          <w:sz w:val="22"/>
          <w:lang w:val="es-ES"/>
        </w:rPr>
        <w:t xml:space="preserve"> Meeting </w:t>
      </w:r>
      <w:proofErr w:type="spellStart"/>
      <w:r w:rsidRPr="00432331">
        <w:rPr>
          <w:rFonts w:cs="Arial"/>
          <w:sz w:val="22"/>
          <w:lang w:val="es-ES"/>
        </w:rPr>
        <w:t>on</w:t>
      </w:r>
      <w:proofErr w:type="spellEnd"/>
      <w:r w:rsidRPr="00432331">
        <w:rPr>
          <w:rFonts w:cs="Arial"/>
          <w:sz w:val="22"/>
          <w:lang w:val="es-ES"/>
        </w:rPr>
        <w:t xml:space="preserve"> Aedes </w:t>
      </w:r>
      <w:proofErr w:type="spellStart"/>
      <w:r w:rsidRPr="00432331">
        <w:rPr>
          <w:rFonts w:cs="Arial"/>
          <w:sz w:val="22"/>
          <w:lang w:val="es-ES"/>
        </w:rPr>
        <w:t>species</w:t>
      </w:r>
      <w:proofErr w:type="spellEnd"/>
      <w:r w:rsidRPr="00432331">
        <w:rPr>
          <w:rFonts w:cs="Arial"/>
          <w:sz w:val="22"/>
          <w:lang w:val="es-ES"/>
        </w:rPr>
        <w:t xml:space="preserve">”. La OECD, en </w:t>
      </w:r>
      <w:r w:rsidRPr="00432331">
        <w:rPr>
          <w:rFonts w:cs="Arial"/>
          <w:sz w:val="22"/>
          <w:lang w:val="es-ES"/>
        </w:rPr>
        <w:lastRenderedPageBreak/>
        <w:t xml:space="preserve">coordinación con la Secretaria Ejecutiva de la CIBIOGEM, llevo a cabo la reunión de expertos en la Ciudad de México del 7 al 9 de mayo. </w:t>
      </w:r>
      <w:r w:rsidR="00432331" w:rsidRPr="00432331">
        <w:rPr>
          <w:rFonts w:cs="Arial"/>
          <w:sz w:val="22"/>
          <w:lang w:val="es-ES"/>
        </w:rPr>
        <w:t>En este evento se contó con la participación de 14 expertos provenientes de: Brasil, Estados Unidos de Norte América, India, Reino Unido y México.</w:t>
      </w:r>
      <w:r w:rsidR="00B37744">
        <w:rPr>
          <w:rFonts w:cs="Arial"/>
          <w:sz w:val="22"/>
          <w:lang w:val="es-ES"/>
        </w:rPr>
        <w:t xml:space="preserve"> </w:t>
      </w:r>
      <w:r w:rsidRPr="00432331">
        <w:rPr>
          <w:rFonts w:cs="Arial"/>
          <w:sz w:val="22"/>
          <w:lang w:val="es-ES"/>
        </w:rPr>
        <w:t>Se anexa la liga donde se pueden consultar los detalles de la misma:</w:t>
      </w:r>
    </w:p>
    <w:p w:rsidR="00F01BD2" w:rsidRPr="00891B51" w:rsidRDefault="00727AA8" w:rsidP="00F01BD2">
      <w:pPr>
        <w:pStyle w:val="Prrafodelista"/>
        <w:ind w:left="720"/>
        <w:jc w:val="both"/>
        <w:rPr>
          <w:sz w:val="22"/>
          <w:lang w:val="es-ES"/>
        </w:rPr>
      </w:pPr>
      <w:r w:rsidRPr="00891B51">
        <w:rPr>
          <w:sz w:val="22"/>
          <w:lang w:val="es-ES"/>
        </w:rPr>
        <w:t>(</w:t>
      </w:r>
      <w:hyperlink r:id="rId24" w:history="1">
        <w:r w:rsidR="00F01BD2" w:rsidRPr="00891B51">
          <w:rPr>
            <w:rStyle w:val="Hipervnculo"/>
            <w:sz w:val="22"/>
            <w:lang w:val="es-ES"/>
          </w:rPr>
          <w:t>http://www.conacyt.mx/cibiogem/index.php/grupo-de-trabajo-de-expertos-de-mexico-para-colaborar-en-la-elaboracion-del-consensus-document-on-the-biology-of-aedes-aegypti</w:t>
        </w:r>
      </w:hyperlink>
      <w:r w:rsidRPr="00891B51">
        <w:rPr>
          <w:sz w:val="22"/>
          <w:lang w:val="es-ES"/>
        </w:rPr>
        <w:t>)</w:t>
      </w:r>
    </w:p>
    <w:p w:rsidR="00F01BD2" w:rsidRPr="00891B51" w:rsidRDefault="00F01BD2" w:rsidP="00F01BD2">
      <w:pPr>
        <w:pStyle w:val="Prrafodelista"/>
        <w:ind w:left="720"/>
        <w:jc w:val="both"/>
        <w:rPr>
          <w:sz w:val="22"/>
          <w:lang w:val="es-ES"/>
        </w:rPr>
      </w:pPr>
    </w:p>
    <w:p w:rsidR="00727AA8" w:rsidRPr="00891B51" w:rsidRDefault="00727AA8" w:rsidP="00F01BD2">
      <w:pPr>
        <w:pStyle w:val="Prrafodelista"/>
        <w:numPr>
          <w:ilvl w:val="0"/>
          <w:numId w:val="12"/>
        </w:numPr>
        <w:jc w:val="both"/>
        <w:rPr>
          <w:rFonts w:cs="Arial"/>
          <w:sz w:val="22"/>
          <w:lang w:val="es-ES"/>
        </w:rPr>
      </w:pPr>
      <w:r w:rsidRPr="00891B51">
        <w:rPr>
          <w:rFonts w:cs="Arial"/>
          <w:sz w:val="22"/>
          <w:lang w:val="es-ES"/>
        </w:rPr>
        <w:t xml:space="preserve">El Subcomité Especializado para la elaboración del Protocolo de Consulta y Participación de los Pueblos y Comunidades Indígenas asentados en las zonas donde se pretenda la liberación de </w:t>
      </w:r>
      <w:proofErr w:type="spellStart"/>
      <w:r w:rsidRPr="00891B51">
        <w:rPr>
          <w:rFonts w:cs="Arial"/>
          <w:sz w:val="22"/>
          <w:lang w:val="es-ES"/>
        </w:rPr>
        <w:t>OGMs</w:t>
      </w:r>
      <w:proofErr w:type="spellEnd"/>
      <w:r w:rsidRPr="00891B51">
        <w:rPr>
          <w:rFonts w:cs="Arial"/>
          <w:sz w:val="22"/>
          <w:lang w:val="es-ES"/>
        </w:rPr>
        <w:t xml:space="preserve"> (GT-108), ha sesionado </w:t>
      </w:r>
      <w:r w:rsidR="003304B0">
        <w:rPr>
          <w:rFonts w:cs="Arial"/>
          <w:sz w:val="22"/>
          <w:lang w:val="es-ES"/>
        </w:rPr>
        <w:t>ocho</w:t>
      </w:r>
      <w:r w:rsidRPr="00891B51">
        <w:rPr>
          <w:rFonts w:cs="Arial"/>
          <w:sz w:val="22"/>
          <w:lang w:val="es-ES"/>
        </w:rPr>
        <w:t xml:space="preserve"> ocasiones durante el período que se reporta (21 de febrero, 16 de abril, 23 de abril, 28 de a</w:t>
      </w:r>
      <w:r w:rsidR="003304B0">
        <w:rPr>
          <w:rFonts w:cs="Arial"/>
          <w:sz w:val="22"/>
          <w:lang w:val="es-ES"/>
        </w:rPr>
        <w:t>bril, 20 de mayo, 3 de junio,</w:t>
      </w:r>
      <w:r w:rsidRPr="00891B51">
        <w:rPr>
          <w:rFonts w:cs="Arial"/>
          <w:sz w:val="22"/>
          <w:lang w:val="es-ES"/>
        </w:rPr>
        <w:t xml:space="preserve"> 5 de agosto</w:t>
      </w:r>
      <w:r w:rsidR="003304B0">
        <w:rPr>
          <w:rFonts w:cs="Arial"/>
          <w:sz w:val="22"/>
          <w:lang w:val="es-ES"/>
        </w:rPr>
        <w:t xml:space="preserve"> y 16 de octubre</w:t>
      </w:r>
      <w:r w:rsidRPr="00891B51">
        <w:rPr>
          <w:rFonts w:cs="Arial"/>
          <w:sz w:val="22"/>
          <w:lang w:val="es-ES"/>
        </w:rPr>
        <w:t xml:space="preserve">). </w:t>
      </w:r>
    </w:p>
    <w:p w:rsidR="00727AA8" w:rsidRPr="00891B51" w:rsidRDefault="00727AA8" w:rsidP="00F01BD2">
      <w:pPr>
        <w:pStyle w:val="Prrafodelista"/>
        <w:numPr>
          <w:ilvl w:val="0"/>
          <w:numId w:val="12"/>
        </w:numPr>
        <w:jc w:val="both"/>
        <w:rPr>
          <w:rFonts w:cs="Arial"/>
          <w:sz w:val="22"/>
          <w:lang w:val="es-ES"/>
        </w:rPr>
      </w:pPr>
      <w:r w:rsidRPr="00891B51">
        <w:rPr>
          <w:rFonts w:cs="Arial"/>
          <w:sz w:val="22"/>
          <w:lang w:val="es-ES"/>
        </w:rPr>
        <w:t>El Subcomité Especializado en Comunica</w:t>
      </w:r>
      <w:r w:rsidR="00F01BD2" w:rsidRPr="00891B51">
        <w:rPr>
          <w:rFonts w:cs="Arial"/>
          <w:sz w:val="22"/>
          <w:lang w:val="es-ES"/>
        </w:rPr>
        <w:t>ción Social (SE-COM) se reactivó</w:t>
      </w:r>
      <w:r w:rsidRPr="00891B51">
        <w:rPr>
          <w:rFonts w:cs="Arial"/>
          <w:sz w:val="22"/>
          <w:lang w:val="es-ES"/>
        </w:rPr>
        <w:t xml:space="preserve"> durante la sesión realizada el día 10 de julio de 2014. Al periodo de reporte se han realizado tres sesione</w:t>
      </w:r>
      <w:r w:rsidR="00432331">
        <w:rPr>
          <w:rFonts w:cs="Arial"/>
          <w:sz w:val="22"/>
          <w:lang w:val="es-ES"/>
        </w:rPr>
        <w:t>s (29 de agosto y 9 de octubre).</w:t>
      </w:r>
    </w:p>
    <w:p w:rsidR="00727AA8" w:rsidRPr="00891B51" w:rsidRDefault="00727AA8" w:rsidP="00891B51">
      <w:pPr>
        <w:pStyle w:val="Prrafodelista"/>
        <w:numPr>
          <w:ilvl w:val="0"/>
          <w:numId w:val="12"/>
        </w:numPr>
        <w:jc w:val="both"/>
        <w:rPr>
          <w:rFonts w:cs="Arial"/>
          <w:sz w:val="22"/>
          <w:lang w:val="es-ES"/>
        </w:rPr>
      </w:pPr>
      <w:r w:rsidRPr="00891B51">
        <w:rPr>
          <w:rFonts w:cs="Arial"/>
          <w:sz w:val="22"/>
          <w:lang w:val="es-ES"/>
        </w:rPr>
        <w:t xml:space="preserve">La Secretaría Ejecutiva, participó en las sesiones del Subcomité de Bioseguridad, Productos Orgánicos y </w:t>
      </w:r>
      <w:proofErr w:type="spellStart"/>
      <w:r w:rsidRPr="00891B51">
        <w:rPr>
          <w:rFonts w:cs="Arial"/>
          <w:sz w:val="22"/>
          <w:lang w:val="es-ES"/>
        </w:rPr>
        <w:t>Bioenergéticos</w:t>
      </w:r>
      <w:proofErr w:type="spellEnd"/>
      <w:r w:rsidRPr="00891B51">
        <w:rPr>
          <w:rFonts w:cs="Arial"/>
          <w:sz w:val="22"/>
          <w:lang w:val="es-ES"/>
        </w:rPr>
        <w:t xml:space="preserve"> del Comité Consultivo Nacional de Normalización Agroalimentaria de la SAGARPA; el cual, durante 2014, ha sesionado en tres ocasiones; dos de manera ordinaria (10 de abril y3 de julio), y otra extraordinaria (10 de septiembre). En dicho Subcomité, se toman acuerdos relacionados con la instrumentación del marco regulatorio, en materia de bioseguridad de </w:t>
      </w:r>
      <w:proofErr w:type="spellStart"/>
      <w:r w:rsidRPr="00891B51">
        <w:rPr>
          <w:rFonts w:cs="Arial"/>
          <w:sz w:val="22"/>
          <w:lang w:val="es-ES"/>
        </w:rPr>
        <w:t>OGMs</w:t>
      </w:r>
      <w:proofErr w:type="spellEnd"/>
      <w:r w:rsidRPr="00891B51">
        <w:rPr>
          <w:rFonts w:cs="Arial"/>
          <w:sz w:val="22"/>
          <w:lang w:val="es-ES"/>
        </w:rPr>
        <w:t>.</w:t>
      </w:r>
    </w:p>
    <w:p w:rsidR="00727AA8" w:rsidRPr="00891B51" w:rsidRDefault="00727AA8" w:rsidP="00727AA8">
      <w:pPr>
        <w:pStyle w:val="Prrafodelista"/>
        <w:numPr>
          <w:ilvl w:val="0"/>
          <w:numId w:val="2"/>
        </w:numPr>
        <w:autoSpaceDE w:val="0"/>
        <w:autoSpaceDN w:val="0"/>
        <w:adjustRightInd w:val="0"/>
        <w:jc w:val="both"/>
        <w:rPr>
          <w:rFonts w:cs="Arial"/>
          <w:color w:val="262626" w:themeColor="text1" w:themeTint="D9"/>
          <w:sz w:val="22"/>
          <w:szCs w:val="20"/>
          <w:lang w:val="es-ES"/>
        </w:rPr>
      </w:pPr>
      <w:r w:rsidRPr="00891B51">
        <w:rPr>
          <w:rFonts w:cs="Arial"/>
          <w:color w:val="262626" w:themeColor="text1" w:themeTint="D9"/>
          <w:sz w:val="22"/>
          <w:szCs w:val="20"/>
          <w:lang w:val="es-ES"/>
        </w:rPr>
        <w:t xml:space="preserve">Adicionalmente, la Secretaría Ejecutiva colabora activamente en los Grupos de Trabajo que construyen las Normas Oficiales de </w:t>
      </w:r>
      <w:r w:rsidRPr="00891B51">
        <w:rPr>
          <w:rFonts w:cs="Arial"/>
          <w:b/>
          <w:i/>
          <w:color w:val="262626" w:themeColor="text1" w:themeTint="D9"/>
          <w:sz w:val="22"/>
          <w:szCs w:val="20"/>
          <w:lang w:val="es-ES"/>
        </w:rPr>
        <w:t xml:space="preserve">etiquetado de </w:t>
      </w:r>
      <w:proofErr w:type="spellStart"/>
      <w:r w:rsidRPr="00891B51">
        <w:rPr>
          <w:rFonts w:cs="Arial"/>
          <w:b/>
          <w:i/>
          <w:color w:val="262626" w:themeColor="text1" w:themeTint="D9"/>
          <w:sz w:val="22"/>
          <w:szCs w:val="20"/>
          <w:lang w:val="es-ES"/>
        </w:rPr>
        <w:t>OGMs</w:t>
      </w:r>
      <w:proofErr w:type="spellEnd"/>
      <w:r w:rsidRPr="00891B51">
        <w:rPr>
          <w:rFonts w:cs="Arial"/>
          <w:color w:val="262626" w:themeColor="text1" w:themeTint="D9"/>
          <w:sz w:val="22"/>
          <w:szCs w:val="20"/>
          <w:lang w:val="es-ES"/>
        </w:rPr>
        <w:t xml:space="preserve">, </w:t>
      </w:r>
      <w:r w:rsidRPr="00891B51">
        <w:rPr>
          <w:rFonts w:cs="Arial"/>
          <w:b/>
          <w:i/>
          <w:color w:val="262626" w:themeColor="text1" w:themeTint="D9"/>
          <w:sz w:val="22"/>
          <w:szCs w:val="20"/>
          <w:lang w:val="es-ES"/>
        </w:rPr>
        <w:t xml:space="preserve">evaluación de riesgo de </w:t>
      </w:r>
      <w:proofErr w:type="spellStart"/>
      <w:r w:rsidRPr="00891B51">
        <w:rPr>
          <w:rFonts w:cs="Arial"/>
          <w:b/>
          <w:i/>
          <w:color w:val="262626" w:themeColor="text1" w:themeTint="D9"/>
          <w:sz w:val="22"/>
          <w:szCs w:val="20"/>
          <w:lang w:val="es-ES"/>
        </w:rPr>
        <w:t>OGMs</w:t>
      </w:r>
      <w:proofErr w:type="spellEnd"/>
      <w:r w:rsidRPr="00891B51">
        <w:rPr>
          <w:rFonts w:cs="Arial"/>
          <w:color w:val="262626" w:themeColor="text1" w:themeTint="D9"/>
          <w:sz w:val="22"/>
          <w:szCs w:val="20"/>
          <w:lang w:val="es-ES"/>
        </w:rPr>
        <w:t xml:space="preserve">, y </w:t>
      </w:r>
      <w:r w:rsidRPr="00891B51">
        <w:rPr>
          <w:rFonts w:cs="Arial"/>
          <w:b/>
          <w:i/>
          <w:color w:val="262626" w:themeColor="text1" w:themeTint="D9"/>
          <w:sz w:val="22"/>
          <w:szCs w:val="20"/>
          <w:lang w:val="es-ES"/>
        </w:rPr>
        <w:t xml:space="preserve">evaluaciones de los efectos que los </w:t>
      </w:r>
      <w:proofErr w:type="spellStart"/>
      <w:r w:rsidRPr="00891B51">
        <w:rPr>
          <w:rFonts w:cs="Arial"/>
          <w:b/>
          <w:i/>
          <w:color w:val="262626" w:themeColor="text1" w:themeTint="D9"/>
          <w:sz w:val="22"/>
          <w:szCs w:val="20"/>
          <w:lang w:val="es-ES"/>
        </w:rPr>
        <w:t>OGMs</w:t>
      </w:r>
      <w:proofErr w:type="spellEnd"/>
      <w:r w:rsidRPr="00891B51">
        <w:rPr>
          <w:rFonts w:cs="Arial"/>
          <w:b/>
          <w:i/>
          <w:color w:val="262626" w:themeColor="text1" w:themeTint="D9"/>
          <w:sz w:val="22"/>
          <w:szCs w:val="20"/>
          <w:lang w:val="es-ES"/>
        </w:rPr>
        <w:t xml:space="preserve"> pudieran ocasionar a los procesos de producción</w:t>
      </w:r>
      <w:r w:rsidRPr="00891B51">
        <w:rPr>
          <w:rFonts w:cs="Arial"/>
          <w:color w:val="262626" w:themeColor="text1" w:themeTint="D9"/>
          <w:sz w:val="22"/>
          <w:szCs w:val="20"/>
          <w:lang w:val="es-ES"/>
        </w:rPr>
        <w:t xml:space="preserve"> </w:t>
      </w:r>
      <w:r w:rsidRPr="00891B51">
        <w:rPr>
          <w:rFonts w:cs="Arial"/>
          <w:b/>
          <w:i/>
          <w:color w:val="262626" w:themeColor="text1" w:themeTint="D9"/>
          <w:sz w:val="22"/>
          <w:szCs w:val="20"/>
          <w:lang w:val="es-ES"/>
        </w:rPr>
        <w:t xml:space="preserve">agrícolas orgánicos, </w:t>
      </w:r>
      <w:r w:rsidRPr="00891B51">
        <w:rPr>
          <w:rFonts w:cs="Arial"/>
          <w:color w:val="262626" w:themeColor="text1" w:themeTint="D9"/>
          <w:sz w:val="22"/>
          <w:szCs w:val="20"/>
          <w:lang w:val="es-ES"/>
        </w:rPr>
        <w:t xml:space="preserve">para los cuales ha proporcionado elementos técnicos y normativos, ha favorecido la participación de los órganos consultivos de la CIBIOGEM y ha emitido comentarios y recomendaciones a los instrumentos en desarrollo. </w:t>
      </w:r>
    </w:p>
    <w:p w:rsidR="005F094E" w:rsidRPr="00CB2DCF" w:rsidRDefault="005F094E" w:rsidP="005F094E">
      <w:pPr>
        <w:jc w:val="both"/>
        <w:rPr>
          <w:rFonts w:ascii="Arial" w:hAnsi="Arial" w:cs="Arial"/>
          <w:b/>
          <w:bCs/>
          <w:sz w:val="22"/>
          <w:szCs w:val="22"/>
        </w:rPr>
      </w:pPr>
    </w:p>
    <w:p w:rsidR="005F094E" w:rsidRPr="00CB2DCF" w:rsidRDefault="005F094E" w:rsidP="005F094E">
      <w:pPr>
        <w:jc w:val="both"/>
        <w:rPr>
          <w:rFonts w:ascii="Arial" w:hAnsi="Arial" w:cs="Arial"/>
          <w:b/>
          <w:bCs/>
          <w:sz w:val="22"/>
          <w:szCs w:val="22"/>
        </w:rPr>
      </w:pPr>
      <w:r w:rsidRPr="00CB2DCF">
        <w:rPr>
          <w:rFonts w:ascii="Arial" w:hAnsi="Arial" w:cs="Arial"/>
          <w:b/>
          <w:bCs/>
          <w:sz w:val="22"/>
          <w:szCs w:val="22"/>
        </w:rPr>
        <w:t>Participación coordinada de México en los foros internacionales en materia de bioseguridad de OGMs y atención efectiva a la implementación y el cumplimiento de los compromisos derivados de los mismos.</w:t>
      </w:r>
    </w:p>
    <w:p w:rsidR="005F094E" w:rsidRPr="00CB2DCF" w:rsidRDefault="005F094E" w:rsidP="005F094E">
      <w:pPr>
        <w:jc w:val="both"/>
        <w:rPr>
          <w:rFonts w:ascii="Arial" w:hAnsi="Arial" w:cs="Arial"/>
          <w:sz w:val="22"/>
          <w:szCs w:val="22"/>
        </w:rPr>
      </w:pPr>
    </w:p>
    <w:p w:rsidR="005F094E" w:rsidRPr="00432331" w:rsidRDefault="005F094E" w:rsidP="00432331">
      <w:pPr>
        <w:jc w:val="both"/>
        <w:rPr>
          <w:rFonts w:ascii="Arial" w:hAnsi="Arial" w:cs="Arial"/>
          <w:b/>
          <w:bCs/>
          <w:sz w:val="22"/>
          <w:szCs w:val="22"/>
        </w:rPr>
      </w:pPr>
      <w:r w:rsidRPr="00432331">
        <w:rPr>
          <w:rFonts w:ascii="Arial" w:hAnsi="Arial" w:cs="Arial"/>
          <w:b/>
          <w:bCs/>
          <w:sz w:val="22"/>
          <w:szCs w:val="22"/>
        </w:rPr>
        <w:t>Protocolo de Cartagena Sobre Seguridad de la Biotecnología</w:t>
      </w:r>
    </w:p>
    <w:p w:rsidR="003304B0" w:rsidRPr="003304B0" w:rsidRDefault="003304B0" w:rsidP="003304B0">
      <w:pPr>
        <w:pStyle w:val="Prrafodelista"/>
        <w:ind w:left="720"/>
        <w:jc w:val="both"/>
        <w:rPr>
          <w:rFonts w:cs="Arial"/>
          <w:b/>
          <w:bCs/>
        </w:rPr>
      </w:pPr>
    </w:p>
    <w:p w:rsidR="003304B0" w:rsidRPr="003304B0" w:rsidRDefault="003304B0" w:rsidP="003304B0">
      <w:pPr>
        <w:jc w:val="both"/>
        <w:rPr>
          <w:rFonts w:ascii="Arial" w:eastAsia="Calibri" w:hAnsi="Arial" w:cs="Arial"/>
          <w:color w:val="262626" w:themeColor="text1" w:themeTint="D9"/>
          <w:sz w:val="22"/>
          <w:lang w:val="es-ES"/>
        </w:rPr>
      </w:pPr>
      <w:r w:rsidRPr="003304B0">
        <w:rPr>
          <w:rFonts w:ascii="Arial" w:eastAsia="Calibri" w:hAnsi="Arial" w:cs="Arial"/>
          <w:color w:val="262626" w:themeColor="text1" w:themeTint="D9"/>
          <w:sz w:val="22"/>
          <w:lang w:val="es-ES"/>
        </w:rPr>
        <w:t xml:space="preserve">El 14 de marzo de 2014 se instaló el Grupo de Trabajos Preparatorios para la Séptima Reunión de la Conferencia de las Partes del Convenio sobre Diversidad Biológica que actúa como reunión de las Partes del Protocolo de Cartagena sobre Seguridad de la Biotecnología (GT COP-MOP/7). El grupo concluyó el documento “Posición de México sobre los Documentos Oficiales preparados por el Secretario Ejecutivo del Convenio Sobre la Diversidad Biológica para la Séptima Reunión de la Conferencia de las Partes del Convenio sobre la Diversidad Biológica que actúa como Reunión de las Partes del Protocolo de Cartagena sobre Seguridad de la Biotecnología” en septiembre de 2014, habiendo sesionado en nueve ocasiones (14 de marzo, 6 de mayo, 4 de julio, 14, 25, y 28 de agosto, 2, 9 y 18 de septiembre). Cumpliendo así su propósito para definir las posturas </w:t>
      </w:r>
      <w:r w:rsidRPr="003304B0">
        <w:rPr>
          <w:rFonts w:ascii="Arial" w:eastAsia="Calibri" w:hAnsi="Arial" w:cs="Arial"/>
          <w:color w:val="262626" w:themeColor="text1" w:themeTint="D9"/>
          <w:sz w:val="22"/>
          <w:lang w:val="es-ES"/>
        </w:rPr>
        <w:lastRenderedPageBreak/>
        <w:t>sobre los temas a tratar, y aportar los elementos  necesarios en preparación a la reunión, habiéndolos consensuado al interior de las instancias de Gobierno Federal que conforman la CIBIOGEM, de manera que pudiera asegurarse una adecuada intervención de la Delegación Mexicana (DELEGAMEX) en este foro internacional.</w:t>
      </w:r>
    </w:p>
    <w:p w:rsidR="003304B0" w:rsidRPr="003304B0" w:rsidRDefault="003304B0" w:rsidP="003304B0">
      <w:pPr>
        <w:jc w:val="both"/>
        <w:rPr>
          <w:rFonts w:ascii="Arial" w:eastAsia="Calibri" w:hAnsi="Arial" w:cs="Arial"/>
          <w:color w:val="262626" w:themeColor="text1" w:themeTint="D9"/>
          <w:sz w:val="22"/>
          <w:lang w:val="es-ES"/>
        </w:rPr>
      </w:pPr>
    </w:p>
    <w:p w:rsidR="003304B0" w:rsidRPr="003304B0" w:rsidRDefault="003304B0" w:rsidP="003304B0">
      <w:pPr>
        <w:jc w:val="both"/>
        <w:rPr>
          <w:rFonts w:ascii="Arial" w:eastAsia="Calibri" w:hAnsi="Arial" w:cs="Arial"/>
          <w:color w:val="262626" w:themeColor="text1" w:themeTint="D9"/>
          <w:sz w:val="22"/>
          <w:lang w:val="es-ES"/>
        </w:rPr>
      </w:pPr>
      <w:r w:rsidRPr="003304B0">
        <w:rPr>
          <w:rFonts w:ascii="Arial" w:eastAsia="Calibri" w:hAnsi="Arial" w:cs="Arial"/>
          <w:color w:val="262626" w:themeColor="text1" w:themeTint="D9"/>
          <w:sz w:val="22"/>
          <w:lang w:val="es-ES"/>
        </w:rPr>
        <w:t>El documento fue presentado el 22 de septiembre ante funcionarios de Secretaría de Relaciones Exteriores para su oficialización. En esta reunión también fueron presentados los lineamientos de participación para los funcionarios designados a conformar la DELEGAMEX. Cabe destacar que, con base en su experiencia, la Dra. Ortiz, Secretaria Ejecutiva y representante designada del CONACYT, fue acreditada como Jefa alterna de delegación para apoyar la coordinación de los trabajos a lo largo de la COP-MOP/7. El documento de posición fue enviado a los titulares de la CIBIOGEM.</w:t>
      </w:r>
    </w:p>
    <w:p w:rsidR="003304B0" w:rsidRPr="003304B0" w:rsidRDefault="003304B0" w:rsidP="003304B0">
      <w:pPr>
        <w:jc w:val="both"/>
        <w:rPr>
          <w:rFonts w:ascii="Arial" w:eastAsia="Calibri" w:hAnsi="Arial" w:cs="Arial"/>
          <w:color w:val="262626" w:themeColor="text1" w:themeTint="D9"/>
          <w:lang w:val="es-ES"/>
        </w:rPr>
      </w:pPr>
    </w:p>
    <w:p w:rsidR="003304B0" w:rsidRPr="003304B0" w:rsidRDefault="003304B0" w:rsidP="003304B0">
      <w:pPr>
        <w:jc w:val="both"/>
        <w:rPr>
          <w:rFonts w:ascii="Arial" w:eastAsia="Calibri" w:hAnsi="Arial" w:cs="Arial"/>
          <w:color w:val="262626" w:themeColor="text1" w:themeTint="D9"/>
          <w:sz w:val="22"/>
          <w:lang w:val="es-ES"/>
        </w:rPr>
      </w:pPr>
      <w:r w:rsidRPr="003304B0">
        <w:rPr>
          <w:rFonts w:ascii="Arial" w:eastAsia="Calibri" w:hAnsi="Arial" w:cs="Arial"/>
          <w:color w:val="262626" w:themeColor="text1" w:themeTint="D9"/>
          <w:sz w:val="22"/>
          <w:lang w:val="es-ES"/>
        </w:rPr>
        <w:t>Se solicitó a la Secretaría de Relaciones Exteriores, el envío de la factura que emite el Programa de Naciones Unidas para el Medio Ambiente, y se llevaron a cabo las contribuciones del Gobierno de México al Fondo Fiduciario General para el presupuesto del programa básico para el Protocolo sobre Seguridad de la Biotecnología del Convenio sobre la Diversidad Biológica. Dicho pago fue realizado el día 3 de septiembre.</w:t>
      </w:r>
    </w:p>
    <w:p w:rsidR="005F094E" w:rsidRPr="003304B0" w:rsidRDefault="005F094E" w:rsidP="003304B0">
      <w:pPr>
        <w:pStyle w:val="Prrafodelista"/>
        <w:ind w:left="720"/>
        <w:jc w:val="both"/>
        <w:rPr>
          <w:rFonts w:cs="Arial"/>
          <w:color w:val="262626" w:themeColor="text1" w:themeTint="D9"/>
          <w:sz w:val="22"/>
          <w:lang w:val="es-ES"/>
        </w:rPr>
      </w:pPr>
    </w:p>
    <w:p w:rsidR="005F094E" w:rsidRPr="00432331" w:rsidRDefault="005F094E" w:rsidP="00432331">
      <w:pPr>
        <w:jc w:val="both"/>
        <w:rPr>
          <w:rFonts w:ascii="Arial" w:hAnsi="Arial" w:cs="Arial"/>
          <w:b/>
          <w:bCs/>
          <w:sz w:val="22"/>
          <w:szCs w:val="22"/>
        </w:rPr>
      </w:pPr>
      <w:r w:rsidRPr="00432331">
        <w:rPr>
          <w:rFonts w:ascii="Arial" w:hAnsi="Arial" w:cs="Arial"/>
          <w:b/>
          <w:bCs/>
          <w:sz w:val="22"/>
          <w:szCs w:val="22"/>
        </w:rPr>
        <w:t xml:space="preserve">Colaboración Internacional </w:t>
      </w:r>
    </w:p>
    <w:p w:rsidR="00FA4037" w:rsidRPr="00CB2DCF" w:rsidRDefault="00FA4037" w:rsidP="005F094E">
      <w:pPr>
        <w:jc w:val="both"/>
        <w:rPr>
          <w:rFonts w:ascii="Arial" w:hAnsi="Arial" w:cs="Arial"/>
          <w:b/>
          <w:bCs/>
          <w:sz w:val="22"/>
          <w:szCs w:val="22"/>
        </w:rPr>
      </w:pPr>
    </w:p>
    <w:p w:rsidR="003304B0" w:rsidRPr="00432331" w:rsidRDefault="003304B0" w:rsidP="00432331">
      <w:pPr>
        <w:jc w:val="both"/>
        <w:rPr>
          <w:rFonts w:ascii="Arial" w:eastAsia="Calibri" w:hAnsi="Arial" w:cs="Arial"/>
          <w:color w:val="262626" w:themeColor="text1" w:themeTint="D9"/>
          <w:sz w:val="22"/>
          <w:lang w:val="es-ES"/>
        </w:rPr>
      </w:pPr>
      <w:r w:rsidRPr="00432331">
        <w:rPr>
          <w:rFonts w:ascii="Arial" w:eastAsia="Calibri" w:hAnsi="Arial" w:cs="Arial"/>
          <w:color w:val="262626" w:themeColor="text1" w:themeTint="D9"/>
          <w:sz w:val="22"/>
          <w:lang w:val="es-ES"/>
        </w:rPr>
        <w:t xml:space="preserve">Se participó en el Meeting </w:t>
      </w:r>
      <w:proofErr w:type="spellStart"/>
      <w:r w:rsidRPr="00432331">
        <w:rPr>
          <w:rFonts w:ascii="Arial" w:eastAsia="Calibri" w:hAnsi="Arial" w:cs="Arial"/>
          <w:color w:val="262626" w:themeColor="text1" w:themeTint="D9"/>
          <w:sz w:val="22"/>
          <w:lang w:val="es-ES"/>
        </w:rPr>
        <w:t>on</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Genetic</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Basis</w:t>
      </w:r>
      <w:proofErr w:type="spellEnd"/>
      <w:r w:rsidRPr="00432331">
        <w:rPr>
          <w:rFonts w:ascii="Arial" w:eastAsia="Calibri" w:hAnsi="Arial" w:cs="Arial"/>
          <w:color w:val="262626" w:themeColor="text1" w:themeTint="D9"/>
          <w:sz w:val="22"/>
          <w:lang w:val="es-ES"/>
        </w:rPr>
        <w:t xml:space="preserve"> of </w:t>
      </w:r>
      <w:proofErr w:type="spellStart"/>
      <w:r w:rsidRPr="00432331">
        <w:rPr>
          <w:rFonts w:ascii="Arial" w:eastAsia="Calibri" w:hAnsi="Arial" w:cs="Arial"/>
          <w:color w:val="262626" w:themeColor="text1" w:themeTint="D9"/>
          <w:sz w:val="22"/>
          <w:lang w:val="es-ES"/>
        </w:rPr>
        <w:t>Unintended</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Effects</w:t>
      </w:r>
      <w:proofErr w:type="spellEnd"/>
      <w:r w:rsidRPr="00432331">
        <w:rPr>
          <w:rFonts w:ascii="Arial" w:eastAsia="Calibri" w:hAnsi="Arial" w:cs="Arial"/>
          <w:color w:val="262626" w:themeColor="text1" w:themeTint="D9"/>
          <w:sz w:val="22"/>
          <w:lang w:val="es-ES"/>
        </w:rPr>
        <w:t xml:space="preserve"> in </w:t>
      </w:r>
      <w:proofErr w:type="spellStart"/>
      <w:r w:rsidRPr="00432331">
        <w:rPr>
          <w:rFonts w:ascii="Arial" w:eastAsia="Calibri" w:hAnsi="Arial" w:cs="Arial"/>
          <w:color w:val="262626" w:themeColor="text1" w:themeTint="D9"/>
          <w:sz w:val="22"/>
          <w:lang w:val="es-ES"/>
        </w:rPr>
        <w:t>Modified</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Plants</w:t>
      </w:r>
      <w:proofErr w:type="spellEnd"/>
      <w:r w:rsidRPr="00432331">
        <w:rPr>
          <w:rFonts w:ascii="Arial" w:eastAsia="Calibri" w:hAnsi="Arial" w:cs="Arial"/>
          <w:color w:val="262626" w:themeColor="text1" w:themeTint="D9"/>
          <w:sz w:val="22"/>
          <w:lang w:val="es-ES"/>
        </w:rPr>
        <w:t xml:space="preserve">, realizado en Ottawa, </w:t>
      </w:r>
      <w:proofErr w:type="spellStart"/>
      <w:r w:rsidRPr="00432331">
        <w:rPr>
          <w:rFonts w:ascii="Arial" w:eastAsia="Calibri" w:hAnsi="Arial" w:cs="Arial"/>
          <w:color w:val="262626" w:themeColor="text1" w:themeTint="D9"/>
          <w:sz w:val="22"/>
          <w:lang w:val="es-ES"/>
        </w:rPr>
        <w:t>Canada</w:t>
      </w:r>
      <w:proofErr w:type="spellEnd"/>
      <w:r w:rsidRPr="00432331">
        <w:rPr>
          <w:rFonts w:ascii="Arial" w:eastAsia="Calibri" w:hAnsi="Arial" w:cs="Arial"/>
          <w:color w:val="262626" w:themeColor="text1" w:themeTint="D9"/>
          <w:sz w:val="22"/>
          <w:lang w:val="es-ES"/>
        </w:rPr>
        <w:t xml:space="preserve">, del 14-15 de enero de 2014. El evento fue coordinado por la Canadian Food Inspection Agency (CFIA), HESI </w:t>
      </w:r>
      <w:proofErr w:type="spellStart"/>
      <w:r w:rsidRPr="00432331">
        <w:rPr>
          <w:rFonts w:ascii="Arial" w:eastAsia="Calibri" w:hAnsi="Arial" w:cs="Arial"/>
          <w:color w:val="262626" w:themeColor="text1" w:themeTint="D9"/>
          <w:sz w:val="22"/>
          <w:lang w:val="es-ES"/>
        </w:rPr>
        <w:t>Protein</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Allergenicity</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Technical</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Committee</w:t>
      </w:r>
      <w:proofErr w:type="spellEnd"/>
      <w:r w:rsidRPr="00432331">
        <w:rPr>
          <w:rFonts w:ascii="Arial" w:eastAsia="Calibri" w:hAnsi="Arial" w:cs="Arial"/>
          <w:color w:val="262626" w:themeColor="text1" w:themeTint="D9"/>
          <w:sz w:val="22"/>
          <w:lang w:val="es-ES"/>
        </w:rPr>
        <w:t xml:space="preserve"> (PATC), ILSI International Food </w:t>
      </w:r>
      <w:proofErr w:type="spellStart"/>
      <w:r w:rsidRPr="00432331">
        <w:rPr>
          <w:rFonts w:ascii="Arial" w:eastAsia="Calibri" w:hAnsi="Arial" w:cs="Arial"/>
          <w:color w:val="262626" w:themeColor="text1" w:themeTint="D9"/>
          <w:sz w:val="22"/>
          <w:lang w:val="es-ES"/>
        </w:rPr>
        <w:t>Biotechnology</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Committee</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IFBiC</w:t>
      </w:r>
      <w:proofErr w:type="spellEnd"/>
      <w:r w:rsidRPr="00432331">
        <w:rPr>
          <w:rFonts w:ascii="Arial" w:eastAsia="Calibri" w:hAnsi="Arial" w:cs="Arial"/>
          <w:color w:val="262626" w:themeColor="text1" w:themeTint="D9"/>
          <w:sz w:val="22"/>
          <w:lang w:val="es-ES"/>
        </w:rPr>
        <w:t xml:space="preserve">), ILSI </w:t>
      </w:r>
      <w:proofErr w:type="spellStart"/>
      <w:r w:rsidRPr="00432331">
        <w:rPr>
          <w:rFonts w:ascii="Arial" w:eastAsia="Calibri" w:hAnsi="Arial" w:cs="Arial"/>
          <w:color w:val="262626" w:themeColor="text1" w:themeTint="D9"/>
          <w:sz w:val="22"/>
          <w:lang w:val="es-ES"/>
        </w:rPr>
        <w:t>Research</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Foundation</w:t>
      </w:r>
      <w:proofErr w:type="spellEnd"/>
      <w:r w:rsidRPr="00432331">
        <w:rPr>
          <w:rFonts w:ascii="Arial" w:eastAsia="Calibri" w:hAnsi="Arial" w:cs="Arial"/>
          <w:color w:val="262626" w:themeColor="text1" w:themeTint="D9"/>
          <w:sz w:val="22"/>
          <w:lang w:val="es-ES"/>
        </w:rPr>
        <w:t xml:space="preserve"> y </w:t>
      </w:r>
      <w:proofErr w:type="spellStart"/>
      <w:r w:rsidRPr="00432331">
        <w:rPr>
          <w:rFonts w:ascii="Arial" w:eastAsia="Calibri" w:hAnsi="Arial" w:cs="Arial"/>
          <w:color w:val="262626" w:themeColor="text1" w:themeTint="D9"/>
          <w:sz w:val="22"/>
          <w:lang w:val="es-ES"/>
        </w:rPr>
        <w:t>CropLife</w:t>
      </w:r>
      <w:proofErr w:type="spellEnd"/>
      <w:r w:rsidRPr="00432331">
        <w:rPr>
          <w:rFonts w:ascii="Arial" w:eastAsia="Calibri" w:hAnsi="Arial" w:cs="Arial"/>
          <w:color w:val="262626" w:themeColor="text1" w:themeTint="D9"/>
          <w:sz w:val="22"/>
          <w:lang w:val="es-ES"/>
        </w:rPr>
        <w:t xml:space="preserve"> International.</w:t>
      </w:r>
    </w:p>
    <w:p w:rsidR="003304B0" w:rsidRPr="00843C20" w:rsidRDefault="003304B0" w:rsidP="003304B0">
      <w:pPr>
        <w:pStyle w:val="Prrafodelista"/>
        <w:ind w:left="720"/>
        <w:jc w:val="both"/>
        <w:rPr>
          <w:rFonts w:cs="Arial"/>
          <w:bCs/>
          <w:sz w:val="22"/>
          <w:szCs w:val="20"/>
          <w:lang w:val="en-US"/>
        </w:rPr>
      </w:pPr>
    </w:p>
    <w:p w:rsidR="003304B0" w:rsidRPr="00432331" w:rsidRDefault="003304B0" w:rsidP="00432331">
      <w:pPr>
        <w:jc w:val="both"/>
        <w:rPr>
          <w:rFonts w:ascii="Arial" w:eastAsia="Calibri" w:hAnsi="Arial" w:cs="Arial"/>
          <w:color w:val="262626" w:themeColor="text1" w:themeTint="D9"/>
          <w:sz w:val="22"/>
          <w:lang w:val="es-ES"/>
        </w:rPr>
      </w:pPr>
      <w:r w:rsidRPr="00432331">
        <w:rPr>
          <w:rFonts w:ascii="Arial" w:eastAsia="Calibri" w:hAnsi="Arial" w:cs="Arial"/>
          <w:color w:val="262626" w:themeColor="text1" w:themeTint="D9"/>
          <w:sz w:val="22"/>
          <w:lang w:val="es-ES"/>
        </w:rPr>
        <w:t xml:space="preserve">En el mes de febrero se atendieron dos foros de la OECD: el 28th Meeting of the </w:t>
      </w:r>
      <w:proofErr w:type="spellStart"/>
      <w:r w:rsidRPr="00432331">
        <w:rPr>
          <w:rFonts w:ascii="Arial" w:eastAsia="Calibri" w:hAnsi="Arial" w:cs="Arial"/>
          <w:color w:val="262626" w:themeColor="text1" w:themeTint="D9"/>
          <w:sz w:val="22"/>
          <w:lang w:val="es-ES"/>
        </w:rPr>
        <w:t>Working</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Group</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on</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Harmonisation</w:t>
      </w:r>
      <w:proofErr w:type="spellEnd"/>
      <w:r w:rsidRPr="00432331">
        <w:rPr>
          <w:rFonts w:ascii="Arial" w:eastAsia="Calibri" w:hAnsi="Arial" w:cs="Arial"/>
          <w:color w:val="262626" w:themeColor="text1" w:themeTint="D9"/>
          <w:sz w:val="22"/>
          <w:lang w:val="es-ES"/>
        </w:rPr>
        <w:t xml:space="preserve"> of </w:t>
      </w:r>
      <w:proofErr w:type="spellStart"/>
      <w:r w:rsidRPr="00432331">
        <w:rPr>
          <w:rFonts w:ascii="Arial" w:eastAsia="Calibri" w:hAnsi="Arial" w:cs="Arial"/>
          <w:color w:val="262626" w:themeColor="text1" w:themeTint="D9"/>
          <w:sz w:val="22"/>
          <w:lang w:val="es-ES"/>
        </w:rPr>
        <w:t>Regulatory</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Oversight</w:t>
      </w:r>
      <w:proofErr w:type="spellEnd"/>
      <w:r w:rsidRPr="00432331">
        <w:rPr>
          <w:rFonts w:ascii="Arial" w:eastAsia="Calibri" w:hAnsi="Arial" w:cs="Arial"/>
          <w:color w:val="262626" w:themeColor="text1" w:themeTint="D9"/>
          <w:sz w:val="22"/>
          <w:lang w:val="es-ES"/>
        </w:rPr>
        <w:t xml:space="preserve"> in </w:t>
      </w:r>
      <w:proofErr w:type="spellStart"/>
      <w:r w:rsidRPr="00432331">
        <w:rPr>
          <w:rFonts w:ascii="Arial" w:eastAsia="Calibri" w:hAnsi="Arial" w:cs="Arial"/>
          <w:color w:val="262626" w:themeColor="text1" w:themeTint="D9"/>
          <w:sz w:val="22"/>
          <w:lang w:val="es-ES"/>
        </w:rPr>
        <w:t>Biotechnology</w:t>
      </w:r>
      <w:proofErr w:type="spellEnd"/>
      <w:r w:rsidRPr="00432331">
        <w:rPr>
          <w:rFonts w:ascii="Arial" w:eastAsia="Calibri" w:hAnsi="Arial" w:cs="Arial"/>
          <w:color w:val="262626" w:themeColor="text1" w:themeTint="D9"/>
          <w:sz w:val="22"/>
          <w:lang w:val="es-ES"/>
        </w:rPr>
        <w:t xml:space="preserve"> (10-13 de febrero), en donde México tiene un representante dentro del Buró y el 21st Meeting of the OECD Task Force for the Safety of Novel Foods and Feeds (6 y 7 de febrero). Representantes de la Secretaría Ejecutiva y de la SAGARPA participaron en las deliberaciones y llevaron las posturas de gobierno federal que fueron consensuadas al interior de las instancias que conforman la CIBIOGEM. </w:t>
      </w:r>
    </w:p>
    <w:p w:rsidR="003304B0" w:rsidRPr="00432331" w:rsidRDefault="003304B0" w:rsidP="00432331">
      <w:pPr>
        <w:jc w:val="both"/>
        <w:rPr>
          <w:rFonts w:ascii="Arial" w:eastAsia="Calibri" w:hAnsi="Arial" w:cs="Arial"/>
          <w:color w:val="262626" w:themeColor="text1" w:themeTint="D9"/>
          <w:sz w:val="22"/>
          <w:lang w:val="es-ES"/>
        </w:rPr>
      </w:pPr>
    </w:p>
    <w:p w:rsidR="003304B0" w:rsidRPr="00432331" w:rsidRDefault="003304B0" w:rsidP="00432331">
      <w:pPr>
        <w:jc w:val="both"/>
        <w:rPr>
          <w:rFonts w:ascii="Arial" w:eastAsia="Calibri" w:hAnsi="Arial" w:cs="Arial"/>
          <w:color w:val="262626" w:themeColor="text1" w:themeTint="D9"/>
          <w:sz w:val="22"/>
          <w:lang w:val="es-ES"/>
        </w:rPr>
      </w:pPr>
      <w:r w:rsidRPr="00432331">
        <w:rPr>
          <w:rFonts w:ascii="Arial" w:eastAsia="Calibri" w:hAnsi="Arial" w:cs="Arial"/>
          <w:color w:val="262626" w:themeColor="text1" w:themeTint="D9"/>
          <w:sz w:val="22"/>
          <w:lang w:val="es-ES"/>
        </w:rPr>
        <w:t>En el marco de los trabajos preparatorios para la para la Séptima reunión de la Conferencia de las Partes del Convenio sobre Diversidad Biológica que actúa como Reunión de las Partes del Protocolo de Cartagena sobre Seguridad de la Biotecnología (GT COP-MOP/7), la Secretaria Ejecutiva participó en el “</w:t>
      </w:r>
      <w:proofErr w:type="spellStart"/>
      <w:r w:rsidRPr="00432331">
        <w:rPr>
          <w:rFonts w:ascii="Arial" w:eastAsia="Calibri" w:hAnsi="Arial" w:cs="Arial"/>
          <w:color w:val="262626" w:themeColor="text1" w:themeTint="D9"/>
          <w:sz w:val="22"/>
          <w:lang w:val="es-ES"/>
        </w:rPr>
        <w:t>Liason</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Group</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on</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Capacity</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Building</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for</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Biosafety</w:t>
      </w:r>
      <w:proofErr w:type="spellEnd"/>
      <w:r w:rsidRPr="00432331">
        <w:rPr>
          <w:rFonts w:ascii="Arial" w:eastAsia="Calibri" w:hAnsi="Arial" w:cs="Arial"/>
          <w:color w:val="262626" w:themeColor="text1" w:themeTint="D9"/>
          <w:sz w:val="22"/>
          <w:lang w:val="es-ES"/>
        </w:rPr>
        <w:t>, realizado en Budapest del 7 al 9 de abril de 2014, y a solicitud del Instituto Interamericano para la Cooperación Agrícola (IICA), la Secretaria Ejecutiva de la CIBIOGEM participó en una reunión regional preparatoria, previa a la COP-MOP 7, en San José de Costa Rica, del 1 al 4 de septiembre.</w:t>
      </w:r>
    </w:p>
    <w:p w:rsidR="003304B0" w:rsidRPr="00432331" w:rsidRDefault="003304B0" w:rsidP="00432331">
      <w:pPr>
        <w:jc w:val="both"/>
        <w:rPr>
          <w:rFonts w:ascii="Arial" w:eastAsia="Calibri" w:hAnsi="Arial" w:cs="Arial"/>
          <w:color w:val="262626" w:themeColor="text1" w:themeTint="D9"/>
          <w:sz w:val="22"/>
          <w:lang w:val="es-ES"/>
        </w:rPr>
      </w:pPr>
    </w:p>
    <w:p w:rsidR="003304B0" w:rsidRPr="00432331" w:rsidRDefault="003304B0" w:rsidP="00432331">
      <w:pPr>
        <w:jc w:val="both"/>
        <w:rPr>
          <w:rFonts w:ascii="Arial" w:eastAsia="Calibri" w:hAnsi="Arial" w:cs="Arial"/>
          <w:color w:val="262626" w:themeColor="text1" w:themeTint="D9"/>
          <w:sz w:val="22"/>
          <w:lang w:val="es-ES"/>
        </w:rPr>
      </w:pPr>
      <w:r w:rsidRPr="00432331">
        <w:rPr>
          <w:rFonts w:ascii="Arial" w:eastAsia="Calibri" w:hAnsi="Arial" w:cs="Arial"/>
          <w:color w:val="262626" w:themeColor="text1" w:themeTint="D9"/>
          <w:sz w:val="22"/>
          <w:lang w:val="es-ES"/>
        </w:rPr>
        <w:t xml:space="preserve">Se gestionó la participación de funcionarios de la SAGARPA en la 13ª edición del APEC High </w:t>
      </w:r>
      <w:proofErr w:type="spellStart"/>
      <w:r w:rsidRPr="00432331">
        <w:rPr>
          <w:rFonts w:ascii="Arial" w:eastAsia="Calibri" w:hAnsi="Arial" w:cs="Arial"/>
          <w:color w:val="262626" w:themeColor="text1" w:themeTint="D9"/>
          <w:sz w:val="22"/>
          <w:lang w:val="es-ES"/>
        </w:rPr>
        <w:t>Level</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Policy</w:t>
      </w:r>
      <w:proofErr w:type="spellEnd"/>
      <w:r w:rsidRPr="00432331">
        <w:rPr>
          <w:rFonts w:ascii="Arial" w:eastAsia="Calibri" w:hAnsi="Arial" w:cs="Arial"/>
          <w:color w:val="262626" w:themeColor="text1" w:themeTint="D9"/>
          <w:sz w:val="22"/>
          <w:lang w:val="es-ES"/>
        </w:rPr>
        <w:t xml:space="preserve"> Dialogue </w:t>
      </w:r>
      <w:proofErr w:type="spellStart"/>
      <w:r w:rsidRPr="00432331">
        <w:rPr>
          <w:rFonts w:ascii="Arial" w:eastAsia="Calibri" w:hAnsi="Arial" w:cs="Arial"/>
          <w:color w:val="262626" w:themeColor="text1" w:themeTint="D9"/>
          <w:sz w:val="22"/>
          <w:lang w:val="es-ES"/>
        </w:rPr>
        <w:t>on</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Agricultural</w:t>
      </w:r>
      <w:proofErr w:type="spellEnd"/>
      <w:r w:rsidRPr="00432331">
        <w:rPr>
          <w:rFonts w:ascii="Arial" w:eastAsia="Calibri" w:hAnsi="Arial" w:cs="Arial"/>
          <w:color w:val="262626" w:themeColor="text1" w:themeTint="D9"/>
          <w:sz w:val="22"/>
          <w:lang w:val="es-ES"/>
        </w:rPr>
        <w:t xml:space="preserve"> </w:t>
      </w:r>
      <w:proofErr w:type="spellStart"/>
      <w:r w:rsidRPr="00432331">
        <w:rPr>
          <w:rFonts w:ascii="Arial" w:eastAsia="Calibri" w:hAnsi="Arial" w:cs="Arial"/>
          <w:color w:val="262626" w:themeColor="text1" w:themeTint="D9"/>
          <w:sz w:val="22"/>
          <w:lang w:val="es-ES"/>
        </w:rPr>
        <w:t>Biotechnology</w:t>
      </w:r>
      <w:proofErr w:type="spellEnd"/>
      <w:r w:rsidRPr="00432331">
        <w:rPr>
          <w:rFonts w:ascii="Arial" w:eastAsia="Calibri" w:hAnsi="Arial" w:cs="Arial"/>
          <w:color w:val="262626" w:themeColor="text1" w:themeTint="D9"/>
          <w:sz w:val="22"/>
          <w:lang w:val="es-ES"/>
        </w:rPr>
        <w:t xml:space="preserve"> el 16 de septiembre, en Beijing, China</w:t>
      </w:r>
    </w:p>
    <w:p w:rsidR="003304B0" w:rsidRPr="00432331" w:rsidRDefault="003304B0" w:rsidP="00432331">
      <w:pPr>
        <w:jc w:val="both"/>
        <w:rPr>
          <w:rFonts w:ascii="Arial" w:eastAsia="Calibri" w:hAnsi="Arial" w:cs="Arial"/>
          <w:color w:val="262626" w:themeColor="text1" w:themeTint="D9"/>
          <w:sz w:val="22"/>
          <w:lang w:val="es-ES"/>
        </w:rPr>
      </w:pPr>
    </w:p>
    <w:p w:rsidR="005F094E" w:rsidRPr="00CB2DCF" w:rsidRDefault="005F094E" w:rsidP="005F094E">
      <w:pPr>
        <w:jc w:val="both"/>
        <w:rPr>
          <w:rFonts w:ascii="Arial" w:hAnsi="Arial" w:cs="Arial"/>
          <w:sz w:val="22"/>
          <w:szCs w:val="22"/>
        </w:rPr>
      </w:pPr>
      <w:r w:rsidRPr="00CB2DCF">
        <w:rPr>
          <w:rFonts w:ascii="Arial" w:hAnsi="Arial" w:cs="Arial"/>
          <w:b/>
          <w:sz w:val="22"/>
          <w:szCs w:val="22"/>
        </w:rPr>
        <w:lastRenderedPageBreak/>
        <w:t>OTRAS ACTIVIDADES DE COORDINACIÓN Y PARTICIPACIÓN</w:t>
      </w:r>
      <w:r w:rsidRPr="00CB2DCF">
        <w:rPr>
          <w:rFonts w:ascii="Arial" w:hAnsi="Arial" w:cs="Arial"/>
          <w:sz w:val="22"/>
          <w:szCs w:val="22"/>
        </w:rPr>
        <w:t>.</w:t>
      </w:r>
    </w:p>
    <w:p w:rsidR="007B3C65" w:rsidRPr="00CB2DCF" w:rsidRDefault="007B3C65" w:rsidP="007B3C65">
      <w:pPr>
        <w:jc w:val="both"/>
        <w:rPr>
          <w:rFonts w:ascii="Arial" w:hAnsi="Arial" w:cs="Arial"/>
          <w:b/>
          <w:bCs/>
          <w:sz w:val="22"/>
          <w:szCs w:val="22"/>
        </w:rPr>
      </w:pPr>
    </w:p>
    <w:p w:rsidR="007B3C65" w:rsidRPr="00CB2DCF" w:rsidRDefault="007B3C65" w:rsidP="007B3C65">
      <w:pPr>
        <w:jc w:val="both"/>
        <w:rPr>
          <w:rFonts w:ascii="Arial" w:hAnsi="Arial" w:cs="Arial"/>
          <w:b/>
          <w:bCs/>
          <w:sz w:val="22"/>
          <w:szCs w:val="22"/>
        </w:rPr>
      </w:pPr>
      <w:r w:rsidRPr="00CB2DCF">
        <w:rPr>
          <w:rFonts w:ascii="Arial" w:hAnsi="Arial" w:cs="Arial"/>
          <w:b/>
          <w:bCs/>
          <w:sz w:val="22"/>
          <w:szCs w:val="22"/>
        </w:rPr>
        <w:t>Red Nacional de Laboratorios de Detección de OGMs (RNLD-OGMs), operando y en proceso de consolidación.</w:t>
      </w:r>
    </w:p>
    <w:p w:rsidR="00843C20" w:rsidRPr="00843C20" w:rsidRDefault="00843C20" w:rsidP="00843C20">
      <w:pPr>
        <w:pStyle w:val="Prrafodelista"/>
        <w:numPr>
          <w:ilvl w:val="0"/>
          <w:numId w:val="10"/>
        </w:numPr>
        <w:autoSpaceDE w:val="0"/>
        <w:autoSpaceDN w:val="0"/>
        <w:adjustRightInd w:val="0"/>
        <w:contextualSpacing/>
        <w:jc w:val="both"/>
        <w:rPr>
          <w:rFonts w:cs="Arial"/>
          <w:bCs/>
          <w:sz w:val="22"/>
          <w:szCs w:val="20"/>
        </w:rPr>
      </w:pPr>
      <w:r w:rsidRPr="00843C20">
        <w:rPr>
          <w:rFonts w:cs="Arial"/>
          <w:bCs/>
          <w:sz w:val="22"/>
          <w:szCs w:val="20"/>
        </w:rPr>
        <w:t xml:space="preserve">Se han llevado a cabo 5 Seminarios en línea de la Red Nacional de Laboratorios de Detección de </w:t>
      </w:r>
      <w:proofErr w:type="spellStart"/>
      <w:r w:rsidRPr="00843C20">
        <w:rPr>
          <w:rFonts w:cs="Arial"/>
          <w:bCs/>
          <w:sz w:val="22"/>
          <w:szCs w:val="20"/>
        </w:rPr>
        <w:t>OGMs</w:t>
      </w:r>
      <w:proofErr w:type="spellEnd"/>
      <w:r w:rsidRPr="00843C20">
        <w:rPr>
          <w:rFonts w:cs="Arial"/>
          <w:bCs/>
          <w:sz w:val="22"/>
          <w:szCs w:val="20"/>
        </w:rPr>
        <w:t xml:space="preserve"> (RNLD-</w:t>
      </w:r>
      <w:proofErr w:type="spellStart"/>
      <w:r w:rsidRPr="00843C20">
        <w:rPr>
          <w:rFonts w:cs="Arial"/>
          <w:bCs/>
          <w:sz w:val="22"/>
          <w:szCs w:val="20"/>
        </w:rPr>
        <w:t>OGMs</w:t>
      </w:r>
      <w:proofErr w:type="spellEnd"/>
      <w:r w:rsidRPr="00843C20">
        <w:rPr>
          <w:rFonts w:cs="Arial"/>
          <w:bCs/>
          <w:sz w:val="22"/>
          <w:szCs w:val="20"/>
        </w:rPr>
        <w:t>), con el propósito de facilitar reuniones periódicas para el intercambio de información y actualización entre los miembros de la Red. Durante el primer seminario del día 9 de enero, se abordaron temas selectos para la capacitación de los integrantes de la Red en el tema: Bases del análisis de resultados del PCR en Tiempo Real, a cargo de la Secretaría Ejecutiva. Durante el segundo seminario, realizado el 6 de marzo, se abordó el tema de “Equipo instrumental de última generación: PCR-TR, PCR Digital”, a cargo del CNRDOGM-SENASICA. En el tercer seminario, realizado el 29 de mayo se discutió sobre “Evaluación de Métodos de Extracción de ADN”. El 6 de agosto se presentó “Secuenciación, Equipo Instrumental de Última Generación” y el 4 de septiembre se trató el tema de Materiales de referencia “Requisitos generales para la competencia de productores de materiales de referencia”.</w:t>
      </w:r>
    </w:p>
    <w:p w:rsidR="00843C20" w:rsidRPr="00843C20" w:rsidRDefault="00843C20" w:rsidP="00843C20">
      <w:pPr>
        <w:pStyle w:val="Prrafodelista"/>
        <w:ind w:left="720"/>
        <w:jc w:val="both"/>
        <w:rPr>
          <w:rFonts w:cs="Arial"/>
          <w:bCs/>
          <w:sz w:val="22"/>
          <w:szCs w:val="20"/>
        </w:rPr>
      </w:pPr>
    </w:p>
    <w:p w:rsidR="00843C20" w:rsidRDefault="00843C20" w:rsidP="00843C20">
      <w:pPr>
        <w:pStyle w:val="Prrafodelista"/>
        <w:numPr>
          <w:ilvl w:val="0"/>
          <w:numId w:val="10"/>
        </w:numPr>
        <w:jc w:val="both"/>
        <w:rPr>
          <w:rFonts w:cs="Arial"/>
          <w:bCs/>
          <w:sz w:val="22"/>
          <w:szCs w:val="20"/>
        </w:rPr>
      </w:pPr>
      <w:r w:rsidRPr="00843C20">
        <w:rPr>
          <w:rFonts w:cs="Arial"/>
          <w:bCs/>
          <w:sz w:val="22"/>
          <w:szCs w:val="20"/>
        </w:rPr>
        <w:t>Se han iniciado los trabajos en el CENAM para que, con el apoyo y coordinación de la Secretaría Ejecutiva, pueda realizarse un nuevo estudio colaborativo para la detección de marcador de GM así como de un nuevo evento específico que se ha considerado de interés entre los laboratorios de la Red. Este análisis será realizado con materiales de semilla de maíz, material de referencia preparado por el CENAM. Se ha comenzado la estandarización del proceso con PCR digital.</w:t>
      </w:r>
    </w:p>
    <w:p w:rsidR="00843C20" w:rsidRPr="00843C20" w:rsidRDefault="00843C20" w:rsidP="00843C20">
      <w:pPr>
        <w:pStyle w:val="Prrafodelista"/>
        <w:rPr>
          <w:rFonts w:cs="Arial"/>
          <w:bCs/>
          <w:sz w:val="22"/>
          <w:szCs w:val="20"/>
        </w:rPr>
      </w:pPr>
    </w:p>
    <w:p w:rsidR="00843C20" w:rsidRPr="00843C20" w:rsidRDefault="00843C20" w:rsidP="00843C20">
      <w:pPr>
        <w:pStyle w:val="Prrafodelista"/>
        <w:numPr>
          <w:ilvl w:val="0"/>
          <w:numId w:val="10"/>
        </w:numPr>
        <w:jc w:val="both"/>
        <w:rPr>
          <w:rFonts w:cs="Arial"/>
          <w:bCs/>
          <w:sz w:val="22"/>
          <w:szCs w:val="20"/>
        </w:rPr>
      </w:pPr>
      <w:r w:rsidRPr="00843C20">
        <w:rPr>
          <w:rFonts w:cs="Arial"/>
          <w:bCs/>
          <w:sz w:val="22"/>
          <w:szCs w:val="20"/>
        </w:rPr>
        <w:t>S</w:t>
      </w:r>
      <w:r>
        <w:rPr>
          <w:rFonts w:cs="Arial"/>
          <w:bCs/>
          <w:sz w:val="22"/>
          <w:szCs w:val="20"/>
        </w:rPr>
        <w:t>e gestionó que s</w:t>
      </w:r>
      <w:r w:rsidRPr="00843C20">
        <w:rPr>
          <w:rFonts w:cs="Arial"/>
          <w:bCs/>
          <w:sz w:val="22"/>
          <w:szCs w:val="20"/>
        </w:rPr>
        <w:t xml:space="preserve">ervidores públicos adscritos a laboratorios de referencia de la SAGARPA y de la SEMARNAT participaron en 2014, en dos workshops ofrecidos por el </w:t>
      </w:r>
      <w:proofErr w:type="spellStart"/>
      <w:r w:rsidRPr="00843C20">
        <w:rPr>
          <w:rFonts w:cs="Arial"/>
          <w:bCs/>
          <w:sz w:val="22"/>
          <w:szCs w:val="20"/>
        </w:rPr>
        <w:t>Join</w:t>
      </w:r>
      <w:proofErr w:type="spellEnd"/>
      <w:r w:rsidRPr="00843C20">
        <w:rPr>
          <w:rFonts w:cs="Arial"/>
          <w:bCs/>
          <w:sz w:val="22"/>
          <w:szCs w:val="20"/>
        </w:rPr>
        <w:t xml:space="preserve"> Center </w:t>
      </w:r>
      <w:proofErr w:type="spellStart"/>
      <w:r w:rsidRPr="00843C20">
        <w:rPr>
          <w:rFonts w:cs="Arial"/>
          <w:bCs/>
          <w:sz w:val="22"/>
          <w:szCs w:val="20"/>
        </w:rPr>
        <w:t>Research</w:t>
      </w:r>
      <w:proofErr w:type="spellEnd"/>
      <w:r w:rsidRPr="00843C20">
        <w:rPr>
          <w:rFonts w:cs="Arial"/>
          <w:bCs/>
          <w:sz w:val="22"/>
          <w:szCs w:val="20"/>
        </w:rPr>
        <w:t xml:space="preserve"> (JRC): </w:t>
      </w:r>
      <w:proofErr w:type="spellStart"/>
      <w:r w:rsidR="00CB7670">
        <w:rPr>
          <w:rFonts w:cs="Arial"/>
          <w:bCs/>
          <w:sz w:val="22"/>
          <w:szCs w:val="20"/>
        </w:rPr>
        <w:t>Topic</w:t>
      </w:r>
      <w:proofErr w:type="spellEnd"/>
      <w:r w:rsidR="00CB7670">
        <w:rPr>
          <w:rFonts w:cs="Arial"/>
          <w:bCs/>
          <w:sz w:val="22"/>
          <w:szCs w:val="20"/>
        </w:rPr>
        <w:t xml:space="preserve"> 1: </w:t>
      </w:r>
      <w:proofErr w:type="spellStart"/>
      <w:r w:rsidRPr="00843C20">
        <w:rPr>
          <w:rFonts w:cs="Arial"/>
          <w:bCs/>
          <w:sz w:val="22"/>
          <w:szCs w:val="20"/>
        </w:rPr>
        <w:t>implementation</w:t>
      </w:r>
      <w:proofErr w:type="spellEnd"/>
      <w:r w:rsidRPr="00843C20">
        <w:rPr>
          <w:rFonts w:cs="Arial"/>
          <w:bCs/>
          <w:sz w:val="22"/>
          <w:szCs w:val="20"/>
        </w:rPr>
        <w:t xml:space="preserve"> of </w:t>
      </w:r>
      <w:proofErr w:type="spellStart"/>
      <w:r w:rsidRPr="00843C20">
        <w:rPr>
          <w:rFonts w:cs="Arial"/>
          <w:bCs/>
          <w:sz w:val="22"/>
          <w:szCs w:val="20"/>
        </w:rPr>
        <w:t>quality</w:t>
      </w:r>
      <w:proofErr w:type="spellEnd"/>
      <w:r w:rsidRPr="00843C20">
        <w:rPr>
          <w:rFonts w:cs="Arial"/>
          <w:bCs/>
          <w:sz w:val="22"/>
          <w:szCs w:val="20"/>
        </w:rPr>
        <w:t xml:space="preserve"> </w:t>
      </w:r>
      <w:proofErr w:type="spellStart"/>
      <w:r w:rsidRPr="00843C20">
        <w:rPr>
          <w:rFonts w:cs="Arial"/>
          <w:bCs/>
          <w:sz w:val="22"/>
          <w:szCs w:val="20"/>
        </w:rPr>
        <w:t>systems</w:t>
      </w:r>
      <w:proofErr w:type="spellEnd"/>
      <w:r w:rsidRPr="00843C20">
        <w:rPr>
          <w:rFonts w:cs="Arial"/>
          <w:bCs/>
          <w:sz w:val="22"/>
          <w:szCs w:val="20"/>
        </w:rPr>
        <w:t xml:space="preserve">/ ISO 17025 </w:t>
      </w:r>
      <w:proofErr w:type="spellStart"/>
      <w:r w:rsidRPr="00843C20">
        <w:rPr>
          <w:rFonts w:cs="Arial"/>
          <w:bCs/>
          <w:sz w:val="22"/>
          <w:szCs w:val="20"/>
        </w:rPr>
        <w:t>accreditation</w:t>
      </w:r>
      <w:proofErr w:type="spellEnd"/>
      <w:r w:rsidRPr="00843C20">
        <w:rPr>
          <w:rFonts w:cs="Arial"/>
          <w:bCs/>
          <w:sz w:val="22"/>
          <w:szCs w:val="20"/>
        </w:rPr>
        <w:t xml:space="preserve">, y </w:t>
      </w:r>
      <w:proofErr w:type="spellStart"/>
      <w:r w:rsidRPr="00843C20">
        <w:rPr>
          <w:rFonts w:cs="Arial"/>
          <w:bCs/>
          <w:sz w:val="22"/>
          <w:szCs w:val="20"/>
        </w:rPr>
        <w:t>Topic</w:t>
      </w:r>
      <w:proofErr w:type="spellEnd"/>
      <w:r w:rsidRPr="00843C20">
        <w:rPr>
          <w:rFonts w:cs="Arial"/>
          <w:bCs/>
          <w:sz w:val="22"/>
          <w:szCs w:val="20"/>
        </w:rPr>
        <w:t xml:space="preserve"> 2: </w:t>
      </w:r>
      <w:proofErr w:type="spellStart"/>
      <w:r w:rsidRPr="00843C20">
        <w:rPr>
          <w:rFonts w:cs="Arial"/>
          <w:bCs/>
          <w:sz w:val="22"/>
          <w:szCs w:val="20"/>
        </w:rPr>
        <w:t>design</w:t>
      </w:r>
      <w:proofErr w:type="spellEnd"/>
      <w:r w:rsidRPr="00843C20">
        <w:rPr>
          <w:rFonts w:cs="Arial"/>
          <w:bCs/>
          <w:sz w:val="22"/>
          <w:szCs w:val="20"/>
        </w:rPr>
        <w:t xml:space="preserve"> of </w:t>
      </w:r>
      <w:proofErr w:type="spellStart"/>
      <w:r w:rsidRPr="00843C20">
        <w:rPr>
          <w:rFonts w:cs="Arial"/>
          <w:bCs/>
          <w:sz w:val="22"/>
          <w:szCs w:val="20"/>
        </w:rPr>
        <w:t>analytical</w:t>
      </w:r>
      <w:proofErr w:type="spellEnd"/>
      <w:r w:rsidRPr="00843C20">
        <w:rPr>
          <w:rFonts w:cs="Arial"/>
          <w:bCs/>
          <w:sz w:val="22"/>
          <w:szCs w:val="20"/>
        </w:rPr>
        <w:t xml:space="preserve"> </w:t>
      </w:r>
      <w:proofErr w:type="spellStart"/>
      <w:r w:rsidRPr="00843C20">
        <w:rPr>
          <w:rFonts w:cs="Arial"/>
          <w:bCs/>
          <w:sz w:val="22"/>
          <w:szCs w:val="20"/>
        </w:rPr>
        <w:t>flow</w:t>
      </w:r>
      <w:proofErr w:type="spellEnd"/>
      <w:r w:rsidRPr="00843C20">
        <w:rPr>
          <w:rFonts w:cs="Arial"/>
          <w:bCs/>
          <w:sz w:val="22"/>
          <w:szCs w:val="20"/>
        </w:rPr>
        <w:t xml:space="preserve">, </w:t>
      </w:r>
      <w:proofErr w:type="spellStart"/>
      <w:r w:rsidRPr="00843C20">
        <w:rPr>
          <w:rFonts w:cs="Arial"/>
          <w:bCs/>
          <w:sz w:val="22"/>
          <w:szCs w:val="20"/>
        </w:rPr>
        <w:t>methods</w:t>
      </w:r>
      <w:proofErr w:type="spellEnd"/>
      <w:r w:rsidRPr="00843C20">
        <w:rPr>
          <w:rFonts w:cs="Arial"/>
          <w:bCs/>
          <w:sz w:val="22"/>
          <w:szCs w:val="20"/>
        </w:rPr>
        <w:t xml:space="preserve"> </w:t>
      </w:r>
      <w:proofErr w:type="spellStart"/>
      <w:r w:rsidRPr="00843C20">
        <w:rPr>
          <w:rFonts w:cs="Arial"/>
          <w:bCs/>
          <w:sz w:val="22"/>
          <w:szCs w:val="20"/>
        </w:rPr>
        <w:t>selection</w:t>
      </w:r>
      <w:proofErr w:type="spellEnd"/>
      <w:r w:rsidRPr="00843C20">
        <w:rPr>
          <w:rFonts w:cs="Arial"/>
          <w:bCs/>
          <w:sz w:val="22"/>
          <w:szCs w:val="20"/>
        </w:rPr>
        <w:t xml:space="preserve"> &amp; </w:t>
      </w:r>
      <w:proofErr w:type="spellStart"/>
      <w:r w:rsidRPr="00843C20">
        <w:rPr>
          <w:rFonts w:cs="Arial"/>
          <w:bCs/>
          <w:sz w:val="22"/>
          <w:szCs w:val="20"/>
        </w:rPr>
        <w:t>verification</w:t>
      </w:r>
      <w:proofErr w:type="spellEnd"/>
      <w:r w:rsidRPr="00843C20">
        <w:rPr>
          <w:rFonts w:cs="Arial"/>
          <w:bCs/>
          <w:sz w:val="22"/>
          <w:szCs w:val="20"/>
        </w:rPr>
        <w:t xml:space="preserve"> + </w:t>
      </w:r>
      <w:proofErr w:type="spellStart"/>
      <w:r w:rsidRPr="00843C20">
        <w:rPr>
          <w:rFonts w:cs="Arial"/>
          <w:bCs/>
          <w:sz w:val="22"/>
          <w:szCs w:val="20"/>
        </w:rPr>
        <w:t>evaluation</w:t>
      </w:r>
      <w:proofErr w:type="spellEnd"/>
      <w:r w:rsidRPr="00843C20">
        <w:rPr>
          <w:rFonts w:cs="Arial"/>
          <w:bCs/>
          <w:sz w:val="22"/>
          <w:szCs w:val="20"/>
        </w:rPr>
        <w:t xml:space="preserve"> &amp; </w:t>
      </w:r>
      <w:proofErr w:type="spellStart"/>
      <w:r w:rsidRPr="00843C20">
        <w:rPr>
          <w:rFonts w:cs="Arial"/>
          <w:bCs/>
          <w:sz w:val="22"/>
          <w:szCs w:val="20"/>
        </w:rPr>
        <w:t>reporting</w:t>
      </w:r>
      <w:proofErr w:type="spellEnd"/>
      <w:r w:rsidRPr="00843C20">
        <w:rPr>
          <w:rFonts w:cs="Arial"/>
          <w:bCs/>
          <w:sz w:val="22"/>
          <w:szCs w:val="20"/>
        </w:rPr>
        <w:t xml:space="preserve"> of </w:t>
      </w:r>
      <w:proofErr w:type="spellStart"/>
      <w:r w:rsidRPr="00843C20">
        <w:rPr>
          <w:rFonts w:cs="Arial"/>
          <w:bCs/>
          <w:sz w:val="22"/>
          <w:szCs w:val="20"/>
        </w:rPr>
        <w:t>analytical</w:t>
      </w:r>
      <w:proofErr w:type="spellEnd"/>
      <w:r w:rsidRPr="00843C20">
        <w:rPr>
          <w:rFonts w:cs="Arial"/>
          <w:bCs/>
          <w:sz w:val="22"/>
          <w:szCs w:val="20"/>
        </w:rPr>
        <w:t xml:space="preserve"> </w:t>
      </w:r>
      <w:proofErr w:type="spellStart"/>
      <w:r w:rsidRPr="00843C20">
        <w:rPr>
          <w:rFonts w:cs="Arial"/>
          <w:bCs/>
          <w:sz w:val="22"/>
          <w:szCs w:val="20"/>
        </w:rPr>
        <w:t>results</w:t>
      </w:r>
      <w:proofErr w:type="spellEnd"/>
      <w:r w:rsidRPr="00843C20">
        <w:rPr>
          <w:rFonts w:cs="Arial"/>
          <w:bCs/>
          <w:sz w:val="22"/>
          <w:szCs w:val="20"/>
        </w:rPr>
        <w:t>.</w:t>
      </w:r>
    </w:p>
    <w:p w:rsidR="00843C20" w:rsidRPr="001720F4" w:rsidRDefault="00843C20" w:rsidP="00843C20">
      <w:pPr>
        <w:rPr>
          <w:rFonts w:ascii="Arial" w:eastAsia="Calibri" w:hAnsi="Arial" w:cs="Arial"/>
          <w:bCs/>
          <w:lang w:eastAsia="en-US"/>
        </w:rPr>
      </w:pPr>
    </w:p>
    <w:sectPr w:rsidR="00843C20" w:rsidRPr="001720F4" w:rsidSect="0095223C">
      <w:headerReference w:type="default" r:id="rId25"/>
      <w:footerReference w:type="default" r:id="rId26"/>
      <w:pgSz w:w="12240" w:h="15840"/>
      <w:pgMar w:top="1417" w:right="1701" w:bottom="1417" w:left="1701" w:header="7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E8" w:rsidRDefault="00456DE8">
      <w:r>
        <w:separator/>
      </w:r>
    </w:p>
  </w:endnote>
  <w:endnote w:type="continuationSeparator" w:id="0">
    <w:p w:rsidR="00456DE8" w:rsidRDefault="0045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dobe Caslon Pro">
    <w:altName w:val="Georgia"/>
    <w:panose1 w:val="0205050205050A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551788"/>
      <w:docPartObj>
        <w:docPartGallery w:val="Page Numbers (Bottom of Page)"/>
        <w:docPartUnique/>
      </w:docPartObj>
    </w:sdtPr>
    <w:sdtEndPr/>
    <w:sdtContent>
      <w:p w:rsidR="00727AA8" w:rsidRDefault="00727AA8">
        <w:pPr>
          <w:pStyle w:val="Piedepgina"/>
          <w:jc w:val="right"/>
        </w:pPr>
        <w:r>
          <w:fldChar w:fldCharType="begin"/>
        </w:r>
        <w:r>
          <w:instrText>PAGE   \* MERGEFORMAT</w:instrText>
        </w:r>
        <w:r>
          <w:fldChar w:fldCharType="separate"/>
        </w:r>
        <w:r w:rsidR="00B37744" w:rsidRPr="00B37744">
          <w:rPr>
            <w:noProof/>
            <w:lang w:val="es-ES"/>
          </w:rPr>
          <w:t>1</w:t>
        </w:r>
        <w:r>
          <w:fldChar w:fldCharType="end"/>
        </w:r>
      </w:p>
    </w:sdtContent>
  </w:sdt>
  <w:p w:rsidR="00727AA8" w:rsidRDefault="00727A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E8" w:rsidRDefault="00456DE8">
      <w:r>
        <w:separator/>
      </w:r>
    </w:p>
  </w:footnote>
  <w:footnote w:type="continuationSeparator" w:id="0">
    <w:p w:rsidR="00456DE8" w:rsidRDefault="0045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A8" w:rsidRDefault="00727AA8" w:rsidP="007F35EB">
    <w:pPr>
      <w:pStyle w:val="Encabezado"/>
      <w:jc w:val="right"/>
      <w:rPr>
        <w:rFonts w:ascii="Adobe Caslon Pro" w:hAnsi="Adobe Caslon Pro"/>
        <w:b/>
        <w:color w:val="777772"/>
        <w:sz w:val="18"/>
        <w:szCs w:val="18"/>
      </w:rPr>
    </w:pPr>
    <w:r>
      <w:rPr>
        <w:rFonts w:ascii="Adobe Caslon Pro" w:hAnsi="Adobe Caslon Pro"/>
        <w:noProof/>
        <w:color w:val="777772"/>
        <w:lang w:eastAsia="es-MX"/>
      </w:rPr>
      <w:drawing>
        <wp:anchor distT="0" distB="0" distL="114300" distR="114300" simplePos="0" relativeHeight="251660288" behindDoc="0" locked="0" layoutInCell="1" allowOverlap="1" wp14:anchorId="7CFD7CD1" wp14:editId="23AA63AD">
          <wp:simplePos x="0" y="0"/>
          <wp:positionH relativeFrom="column">
            <wp:posOffset>-695960</wp:posOffset>
          </wp:positionH>
          <wp:positionV relativeFrom="paragraph">
            <wp:posOffset>-145415</wp:posOffset>
          </wp:positionV>
          <wp:extent cx="2276475" cy="647700"/>
          <wp:effectExtent l="0" t="0" r="9525" b="0"/>
          <wp:wrapNone/>
          <wp:docPr id="3" name="3 Imagen" descr="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jpg"/>
                  <pic:cNvPicPr/>
                </pic:nvPicPr>
                <pic:blipFill>
                  <a:blip r:embed="rId1"/>
                  <a:stretch>
                    <a:fillRect/>
                  </a:stretch>
                </pic:blipFill>
                <pic:spPr>
                  <a:xfrm>
                    <a:off x="0" y="0"/>
                    <a:ext cx="2276475" cy="647700"/>
                  </a:xfrm>
                  <a:prstGeom prst="rect">
                    <a:avLst/>
                  </a:prstGeom>
                </pic:spPr>
              </pic:pic>
            </a:graphicData>
          </a:graphic>
        </wp:anchor>
      </w:drawing>
    </w:r>
    <w:r>
      <w:rPr>
        <w:rFonts w:ascii="Adobe Caslon Pro" w:hAnsi="Adobe Caslon Pro"/>
        <w:noProof/>
        <w:color w:val="777772"/>
        <w:lang w:eastAsia="es-MX"/>
      </w:rPr>
      <w:drawing>
        <wp:anchor distT="0" distB="0" distL="114300" distR="114300" simplePos="0" relativeHeight="251661312" behindDoc="0" locked="0" layoutInCell="1" allowOverlap="1" wp14:anchorId="5ABEA02A" wp14:editId="5E134D90">
          <wp:simplePos x="0" y="0"/>
          <wp:positionH relativeFrom="column">
            <wp:posOffset>4914265</wp:posOffset>
          </wp:positionH>
          <wp:positionV relativeFrom="paragraph">
            <wp:posOffset>-145415</wp:posOffset>
          </wp:positionV>
          <wp:extent cx="647700" cy="647700"/>
          <wp:effectExtent l="0" t="0" r="0" b="0"/>
          <wp:wrapNone/>
          <wp:docPr id="6" name="Imagen 1" descr="D:\Usuarios\jgonzalezh\Mis documentos\Documentos-Rosita\Manual de identidad CIBIOGEM\Logotipo CIBIOGEM\JPG\CIBIOGEM_lg_vol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jgonzalezh\Mis documentos\Documentos-Rosita\Manual de identidad CIBIOGEM\Logotipo CIBIOGEM\JPG\CIBIOGEM_lg_vol_CMYK_300dpi.jpg"/>
                  <pic:cNvPicPr>
                    <a:picLocks noChangeAspect="1" noChangeArrowheads="1"/>
                  </pic:cNvPicPr>
                </pic:nvPicPr>
                <pic:blipFill>
                  <a:blip r:embed="rId2"/>
                  <a:stretch>
                    <a:fillRect/>
                  </a:stretch>
                </pic:blipFill>
                <pic:spPr bwMode="auto">
                  <a:xfrm>
                    <a:off x="0" y="0"/>
                    <a:ext cx="647700" cy="647700"/>
                  </a:xfrm>
                  <a:prstGeom prst="rect">
                    <a:avLst/>
                  </a:prstGeom>
                  <a:noFill/>
                  <a:ln w="9525">
                    <a:noFill/>
                    <a:miter lim="800000"/>
                    <a:headEnd/>
                    <a:tailEnd/>
                  </a:ln>
                </pic:spPr>
              </pic:pic>
            </a:graphicData>
          </a:graphic>
        </wp:anchor>
      </w:drawing>
    </w:r>
  </w:p>
  <w:p w:rsidR="00727AA8" w:rsidRDefault="00727AA8" w:rsidP="007F35EB">
    <w:pPr>
      <w:pStyle w:val="Encabezado"/>
      <w:jc w:val="right"/>
      <w:rPr>
        <w:rFonts w:ascii="Adobe Caslon Pro" w:hAnsi="Adobe Caslon Pro"/>
        <w:b/>
        <w:color w:val="777772"/>
        <w:sz w:val="16"/>
        <w:szCs w:val="18"/>
      </w:rPr>
    </w:pPr>
  </w:p>
  <w:p w:rsidR="00727AA8" w:rsidRDefault="00727AA8" w:rsidP="007F35EB">
    <w:pPr>
      <w:pStyle w:val="Encabezado"/>
      <w:jc w:val="right"/>
      <w:rPr>
        <w:rFonts w:ascii="Adobe Caslon Pro" w:hAnsi="Adobe Caslon Pro"/>
        <w:b/>
        <w:color w:val="777772"/>
        <w:sz w:val="16"/>
        <w:szCs w:val="18"/>
      </w:rPr>
    </w:pPr>
  </w:p>
  <w:p w:rsidR="00727AA8" w:rsidRDefault="00727AA8" w:rsidP="007F35EB">
    <w:pPr>
      <w:pStyle w:val="Encabezado"/>
      <w:jc w:val="right"/>
      <w:rPr>
        <w:rFonts w:ascii="Adobe Caslon Pro" w:hAnsi="Adobe Caslon Pro"/>
        <w:b/>
        <w:color w:val="777772"/>
        <w:sz w:val="16"/>
        <w:szCs w:val="18"/>
      </w:rPr>
    </w:pPr>
    <w:r>
      <w:rPr>
        <w:rFonts w:ascii="Adobe Caslon Pro" w:hAnsi="Adobe Caslon Pro"/>
        <w:b/>
        <w:color w:val="777772"/>
        <w:sz w:val="16"/>
        <w:szCs w:val="18"/>
      </w:rPr>
      <w:t xml:space="preserve"> </w:t>
    </w:r>
  </w:p>
  <w:p w:rsidR="00727AA8" w:rsidRDefault="00727AA8" w:rsidP="007F35EB">
    <w:pPr>
      <w:pStyle w:val="Encabezado"/>
      <w:ind w:left="-540"/>
    </w:pPr>
    <w:r>
      <w:rPr>
        <w:rFonts w:ascii="Adobe Caslon Pro" w:hAnsi="Adobe Caslon Pro"/>
        <w:b/>
        <w:color w:val="777772"/>
        <w:sz w:val="16"/>
        <w:szCs w:val="18"/>
      </w:rPr>
      <w:t xml:space="preserve">                                                                                                                                                                                                                                                Secretaria Ejecutiva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2BF"/>
    <w:multiLevelType w:val="hybridMultilevel"/>
    <w:tmpl w:val="A05EC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E97E3F"/>
    <w:multiLevelType w:val="hybridMultilevel"/>
    <w:tmpl w:val="F3EEAD3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29792C"/>
    <w:multiLevelType w:val="hybridMultilevel"/>
    <w:tmpl w:val="C2B898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A32385"/>
    <w:multiLevelType w:val="hybridMultilevel"/>
    <w:tmpl w:val="CF9871E8"/>
    <w:lvl w:ilvl="0" w:tplc="FA3A19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3C1E94"/>
    <w:multiLevelType w:val="hybridMultilevel"/>
    <w:tmpl w:val="9110BE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70A3FB8"/>
    <w:multiLevelType w:val="hybridMultilevel"/>
    <w:tmpl w:val="491291BA"/>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07876AC3"/>
    <w:multiLevelType w:val="hybridMultilevel"/>
    <w:tmpl w:val="11E85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9581836"/>
    <w:multiLevelType w:val="hybridMultilevel"/>
    <w:tmpl w:val="0AC6A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BBA1658"/>
    <w:multiLevelType w:val="hybridMultilevel"/>
    <w:tmpl w:val="48BE0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DB2CFA"/>
    <w:multiLevelType w:val="hybridMultilevel"/>
    <w:tmpl w:val="6DD852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88F51F7"/>
    <w:multiLevelType w:val="hybridMultilevel"/>
    <w:tmpl w:val="8A5C5C62"/>
    <w:lvl w:ilvl="0" w:tplc="B7D26560">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246B513F"/>
    <w:multiLevelType w:val="multilevel"/>
    <w:tmpl w:val="9A506484"/>
    <w:lvl w:ilvl="0">
      <w:start w:val="1"/>
      <w:numFmt w:val="bullet"/>
      <w:lvlText w:val="o"/>
      <w:lvlJc w:val="left"/>
      <w:pPr>
        <w:ind w:left="1068" w:hanging="360"/>
      </w:pPr>
      <w:rPr>
        <w:rFonts w:ascii="Courier New" w:hAnsi="Courier New" w:cs="Courier New"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2">
    <w:nsid w:val="2A2F758C"/>
    <w:multiLevelType w:val="hybridMultilevel"/>
    <w:tmpl w:val="C05C3628"/>
    <w:lvl w:ilvl="0" w:tplc="B7D26560">
      <w:numFmt w:val="bullet"/>
      <w:lvlText w:val="-"/>
      <w:lvlJc w:val="left"/>
      <w:pPr>
        <w:ind w:left="1776"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2C1028B1"/>
    <w:multiLevelType w:val="hybridMultilevel"/>
    <w:tmpl w:val="8982C02A"/>
    <w:lvl w:ilvl="0" w:tplc="080A0001">
      <w:start w:val="1"/>
      <w:numFmt w:val="bullet"/>
      <w:lvlText w:val=""/>
      <w:lvlJc w:val="left"/>
      <w:pPr>
        <w:tabs>
          <w:tab w:val="num" w:pos="720"/>
        </w:tabs>
        <w:ind w:left="720" w:hanging="360"/>
      </w:pPr>
      <w:rPr>
        <w:rFonts w:ascii="Symbol" w:hAnsi="Symbol" w:hint="default"/>
      </w:rPr>
    </w:lvl>
    <w:lvl w:ilvl="1" w:tplc="53C89DE2">
      <w:start w:val="1"/>
      <w:numFmt w:val="bullet"/>
      <w:lvlText w:val="•"/>
      <w:lvlJc w:val="left"/>
      <w:pPr>
        <w:tabs>
          <w:tab w:val="num" w:pos="1440"/>
        </w:tabs>
        <w:ind w:left="1440" w:hanging="360"/>
      </w:pPr>
      <w:rPr>
        <w:rFonts w:ascii="Arial" w:hAnsi="Arial" w:hint="default"/>
      </w:rPr>
    </w:lvl>
    <w:lvl w:ilvl="2" w:tplc="9866136C" w:tentative="1">
      <w:start w:val="1"/>
      <w:numFmt w:val="bullet"/>
      <w:lvlText w:val="•"/>
      <w:lvlJc w:val="left"/>
      <w:pPr>
        <w:tabs>
          <w:tab w:val="num" w:pos="2160"/>
        </w:tabs>
        <w:ind w:left="2160" w:hanging="360"/>
      </w:pPr>
      <w:rPr>
        <w:rFonts w:ascii="Arial" w:hAnsi="Arial" w:hint="default"/>
      </w:rPr>
    </w:lvl>
    <w:lvl w:ilvl="3" w:tplc="816ED528" w:tentative="1">
      <w:start w:val="1"/>
      <w:numFmt w:val="bullet"/>
      <w:lvlText w:val="•"/>
      <w:lvlJc w:val="left"/>
      <w:pPr>
        <w:tabs>
          <w:tab w:val="num" w:pos="2880"/>
        </w:tabs>
        <w:ind w:left="2880" w:hanging="360"/>
      </w:pPr>
      <w:rPr>
        <w:rFonts w:ascii="Arial" w:hAnsi="Arial" w:hint="default"/>
      </w:rPr>
    </w:lvl>
    <w:lvl w:ilvl="4" w:tplc="F91E7652" w:tentative="1">
      <w:start w:val="1"/>
      <w:numFmt w:val="bullet"/>
      <w:lvlText w:val="•"/>
      <w:lvlJc w:val="left"/>
      <w:pPr>
        <w:tabs>
          <w:tab w:val="num" w:pos="3600"/>
        </w:tabs>
        <w:ind w:left="3600" w:hanging="360"/>
      </w:pPr>
      <w:rPr>
        <w:rFonts w:ascii="Arial" w:hAnsi="Arial" w:hint="default"/>
      </w:rPr>
    </w:lvl>
    <w:lvl w:ilvl="5" w:tplc="A682376E" w:tentative="1">
      <w:start w:val="1"/>
      <w:numFmt w:val="bullet"/>
      <w:lvlText w:val="•"/>
      <w:lvlJc w:val="left"/>
      <w:pPr>
        <w:tabs>
          <w:tab w:val="num" w:pos="4320"/>
        </w:tabs>
        <w:ind w:left="4320" w:hanging="360"/>
      </w:pPr>
      <w:rPr>
        <w:rFonts w:ascii="Arial" w:hAnsi="Arial" w:hint="default"/>
      </w:rPr>
    </w:lvl>
    <w:lvl w:ilvl="6" w:tplc="E4A059CE" w:tentative="1">
      <w:start w:val="1"/>
      <w:numFmt w:val="bullet"/>
      <w:lvlText w:val="•"/>
      <w:lvlJc w:val="left"/>
      <w:pPr>
        <w:tabs>
          <w:tab w:val="num" w:pos="5040"/>
        </w:tabs>
        <w:ind w:left="5040" w:hanging="360"/>
      </w:pPr>
      <w:rPr>
        <w:rFonts w:ascii="Arial" w:hAnsi="Arial" w:hint="default"/>
      </w:rPr>
    </w:lvl>
    <w:lvl w:ilvl="7" w:tplc="9C7E0116" w:tentative="1">
      <w:start w:val="1"/>
      <w:numFmt w:val="bullet"/>
      <w:lvlText w:val="•"/>
      <w:lvlJc w:val="left"/>
      <w:pPr>
        <w:tabs>
          <w:tab w:val="num" w:pos="5760"/>
        </w:tabs>
        <w:ind w:left="5760" w:hanging="360"/>
      </w:pPr>
      <w:rPr>
        <w:rFonts w:ascii="Arial" w:hAnsi="Arial" w:hint="default"/>
      </w:rPr>
    </w:lvl>
    <w:lvl w:ilvl="8" w:tplc="F7A64568" w:tentative="1">
      <w:start w:val="1"/>
      <w:numFmt w:val="bullet"/>
      <w:lvlText w:val="•"/>
      <w:lvlJc w:val="left"/>
      <w:pPr>
        <w:tabs>
          <w:tab w:val="num" w:pos="6480"/>
        </w:tabs>
        <w:ind w:left="6480" w:hanging="360"/>
      </w:pPr>
      <w:rPr>
        <w:rFonts w:ascii="Arial" w:hAnsi="Arial" w:hint="default"/>
      </w:rPr>
    </w:lvl>
  </w:abstractNum>
  <w:abstractNum w:abstractNumId="14">
    <w:nsid w:val="2D2F316E"/>
    <w:multiLevelType w:val="hybridMultilevel"/>
    <w:tmpl w:val="C1B60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B2714F"/>
    <w:multiLevelType w:val="hybridMultilevel"/>
    <w:tmpl w:val="529C7F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65013D"/>
    <w:multiLevelType w:val="hybridMultilevel"/>
    <w:tmpl w:val="8416D14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3ABE41CF"/>
    <w:multiLevelType w:val="hybridMultilevel"/>
    <w:tmpl w:val="BEBA95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A8139A"/>
    <w:multiLevelType w:val="hybridMultilevel"/>
    <w:tmpl w:val="52866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0573F7"/>
    <w:multiLevelType w:val="hybridMultilevel"/>
    <w:tmpl w:val="1D06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2FC0A93"/>
    <w:multiLevelType w:val="hybridMultilevel"/>
    <w:tmpl w:val="1E8886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4536DB0"/>
    <w:multiLevelType w:val="hybridMultilevel"/>
    <w:tmpl w:val="24402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1F03BF"/>
    <w:multiLevelType w:val="hybridMultilevel"/>
    <w:tmpl w:val="D81AF0B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1A3CF4"/>
    <w:multiLevelType w:val="hybridMultilevel"/>
    <w:tmpl w:val="8416D14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nsid w:val="4D1C7CD4"/>
    <w:multiLevelType w:val="hybridMultilevel"/>
    <w:tmpl w:val="564C2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E0442B4"/>
    <w:multiLevelType w:val="multilevel"/>
    <w:tmpl w:val="5DB8AE62"/>
    <w:lvl w:ilvl="0">
      <w:start w:val="20"/>
      <w:numFmt w:val="decimal"/>
      <w:pStyle w:val="Para1"/>
      <w:lvlText w:val="%1."/>
      <w:lvlJc w:val="left"/>
      <w:pPr>
        <w:tabs>
          <w:tab w:val="num" w:pos="900"/>
        </w:tabs>
        <w:ind w:left="540"/>
      </w:pPr>
      <w:rPr>
        <w:rFonts w:ascii="Times New Roman" w:hAnsi="Times New Roman" w:cs="Times New Roman" w:hint="default"/>
        <w:b w:val="0"/>
        <w:i w:val="0"/>
        <w:sz w:val="22"/>
      </w:rPr>
    </w:lvl>
    <w:lvl w:ilvl="1">
      <w:start w:val="6"/>
      <w:numFmt w:val="lowerLetter"/>
      <w:lvlText w:val="%2)"/>
      <w:lvlJc w:val="left"/>
      <w:pPr>
        <w:tabs>
          <w:tab w:val="num" w:pos="1620"/>
        </w:tabs>
        <w:ind w:left="540" w:firstLine="720"/>
      </w:pPr>
      <w:rPr>
        <w:rFonts w:cs="Times New Roman" w:hint="default"/>
        <w:b w:val="0"/>
        <w:i w:val="0"/>
      </w:rPr>
    </w:lvl>
    <w:lvl w:ilvl="2">
      <w:start w:val="1"/>
      <w:numFmt w:val="lowerRoman"/>
      <w:pStyle w:val="Para3"/>
      <w:lvlText w:val="%3)"/>
      <w:lvlJc w:val="right"/>
      <w:pPr>
        <w:tabs>
          <w:tab w:val="num" w:pos="1980"/>
        </w:tabs>
        <w:ind w:left="1980" w:hanging="360"/>
      </w:pPr>
      <w:rPr>
        <w:rFonts w:cs="Times New Roman" w:hint="default"/>
      </w:rPr>
    </w:lvl>
    <w:lvl w:ilvl="3">
      <w:start w:val="1"/>
      <w:numFmt w:val="bullet"/>
      <w:lvlText w:val=""/>
      <w:lvlJc w:val="left"/>
      <w:pPr>
        <w:tabs>
          <w:tab w:val="num" w:pos="2700"/>
        </w:tabs>
        <w:ind w:left="2700" w:hanging="720"/>
      </w:pPr>
      <w:rPr>
        <w:rFonts w:ascii="Symbol" w:hAnsi="Symbol" w:hint="default"/>
        <w:color w:val="auto"/>
        <w:sz w:val="28"/>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pStyle w:val="Para4"/>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26">
    <w:nsid w:val="4E2359AA"/>
    <w:multiLevelType w:val="hybridMultilevel"/>
    <w:tmpl w:val="241C87E2"/>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7">
    <w:nsid w:val="4EB706E1"/>
    <w:multiLevelType w:val="hybridMultilevel"/>
    <w:tmpl w:val="2CAC41F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40163D5"/>
    <w:multiLevelType w:val="hybridMultilevel"/>
    <w:tmpl w:val="38D49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66C443D"/>
    <w:multiLevelType w:val="hybridMultilevel"/>
    <w:tmpl w:val="2CAC41F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EB473BB"/>
    <w:multiLevelType w:val="hybridMultilevel"/>
    <w:tmpl w:val="447EFF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27866BA"/>
    <w:multiLevelType w:val="hybridMultilevel"/>
    <w:tmpl w:val="96ACB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46A0C42"/>
    <w:multiLevelType w:val="hybridMultilevel"/>
    <w:tmpl w:val="FAF4E722"/>
    <w:lvl w:ilvl="0" w:tplc="375658B8">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539043A"/>
    <w:multiLevelType w:val="hybridMultilevel"/>
    <w:tmpl w:val="3D147DE8"/>
    <w:lvl w:ilvl="0" w:tplc="080A0001">
      <w:start w:val="1"/>
      <w:numFmt w:val="bullet"/>
      <w:lvlText w:val=""/>
      <w:lvlJc w:val="left"/>
      <w:pPr>
        <w:ind w:left="720" w:hanging="360"/>
      </w:pPr>
      <w:rPr>
        <w:rFonts w:ascii="Symbol" w:hAnsi="Symbol" w:hint="default"/>
      </w:rPr>
    </w:lvl>
    <w:lvl w:ilvl="1" w:tplc="3BBAD692">
      <w:numFmt w:val="bullet"/>
      <w:lvlText w:val="•"/>
      <w:lvlJc w:val="left"/>
      <w:pPr>
        <w:ind w:left="1440" w:hanging="360"/>
      </w:pPr>
      <w:rPr>
        <w:rFonts w:ascii="Arial" w:eastAsia="Times New Roman" w:hAnsi="Aria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647749"/>
    <w:multiLevelType w:val="hybridMultilevel"/>
    <w:tmpl w:val="F4A05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8142A3"/>
    <w:multiLevelType w:val="hybridMultilevel"/>
    <w:tmpl w:val="3C641A32"/>
    <w:lvl w:ilvl="0" w:tplc="080A0001">
      <w:start w:val="1"/>
      <w:numFmt w:val="bullet"/>
      <w:lvlText w:val=""/>
      <w:lvlJc w:val="left"/>
      <w:pPr>
        <w:ind w:left="720" w:hanging="360"/>
      </w:pPr>
      <w:rPr>
        <w:rFonts w:ascii="Symbol" w:hAnsi="Symbol" w:hint="default"/>
      </w:rPr>
    </w:lvl>
    <w:lvl w:ilvl="1" w:tplc="3BBAD692">
      <w:numFmt w:val="bullet"/>
      <w:lvlText w:val="•"/>
      <w:lvlJc w:val="left"/>
      <w:pPr>
        <w:ind w:left="1440" w:hanging="360"/>
      </w:pPr>
      <w:rPr>
        <w:rFonts w:ascii="Arial" w:eastAsia="Times New Roman" w:hAnsi="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5A40D0E"/>
    <w:multiLevelType w:val="hybridMultilevel"/>
    <w:tmpl w:val="1A745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CB821BB"/>
    <w:multiLevelType w:val="hybridMultilevel"/>
    <w:tmpl w:val="8F08A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2213E1D"/>
    <w:multiLevelType w:val="hybridMultilevel"/>
    <w:tmpl w:val="1A965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2D07824"/>
    <w:multiLevelType w:val="hybridMultilevel"/>
    <w:tmpl w:val="0E2E72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3096B67"/>
    <w:multiLevelType w:val="hybridMultilevel"/>
    <w:tmpl w:val="21D2FC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75603FDC"/>
    <w:multiLevelType w:val="hybridMultilevel"/>
    <w:tmpl w:val="17100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5C54DBA"/>
    <w:multiLevelType w:val="hybridMultilevel"/>
    <w:tmpl w:val="222E85E8"/>
    <w:lvl w:ilvl="0" w:tplc="EE6A08FC">
      <w:start w:val="4"/>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343BD6"/>
    <w:multiLevelType w:val="hybridMultilevel"/>
    <w:tmpl w:val="8348F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9260552"/>
    <w:multiLevelType w:val="hybridMultilevel"/>
    <w:tmpl w:val="CB1A40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A3E78DD"/>
    <w:multiLevelType w:val="hybridMultilevel"/>
    <w:tmpl w:val="71985D3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5"/>
  </w:num>
  <w:num w:numId="2">
    <w:abstractNumId w:val="44"/>
  </w:num>
  <w:num w:numId="3">
    <w:abstractNumId w:val="28"/>
  </w:num>
  <w:num w:numId="4">
    <w:abstractNumId w:val="13"/>
  </w:num>
  <w:num w:numId="5">
    <w:abstractNumId w:val="21"/>
  </w:num>
  <w:num w:numId="6">
    <w:abstractNumId w:val="6"/>
  </w:num>
  <w:num w:numId="7">
    <w:abstractNumId w:val="35"/>
  </w:num>
  <w:num w:numId="8">
    <w:abstractNumId w:val="33"/>
  </w:num>
  <w:num w:numId="9">
    <w:abstractNumId w:val="17"/>
  </w:num>
  <w:num w:numId="10">
    <w:abstractNumId w:val="38"/>
  </w:num>
  <w:num w:numId="11">
    <w:abstractNumId w:val="32"/>
  </w:num>
  <w:num w:numId="12">
    <w:abstractNumId w:val="9"/>
  </w:num>
  <w:num w:numId="13">
    <w:abstractNumId w:val="14"/>
  </w:num>
  <w:num w:numId="14">
    <w:abstractNumId w:val="26"/>
  </w:num>
  <w:num w:numId="15">
    <w:abstractNumId w:val="34"/>
  </w:num>
  <w:num w:numId="16">
    <w:abstractNumId w:val="7"/>
  </w:num>
  <w:num w:numId="17">
    <w:abstractNumId w:val="30"/>
  </w:num>
  <w:num w:numId="18">
    <w:abstractNumId w:val="37"/>
  </w:num>
  <w:num w:numId="19">
    <w:abstractNumId w:val="15"/>
  </w:num>
  <w:num w:numId="20">
    <w:abstractNumId w:val="19"/>
  </w:num>
  <w:num w:numId="21">
    <w:abstractNumId w:val="2"/>
  </w:num>
  <w:num w:numId="22">
    <w:abstractNumId w:val="39"/>
  </w:num>
  <w:num w:numId="23">
    <w:abstractNumId w:val="8"/>
  </w:num>
  <w:num w:numId="24">
    <w:abstractNumId w:val="10"/>
  </w:num>
  <w:num w:numId="25">
    <w:abstractNumId w:val="12"/>
  </w:num>
  <w:num w:numId="26">
    <w:abstractNumId w:val="16"/>
  </w:num>
  <w:num w:numId="27">
    <w:abstractNumId w:val="0"/>
  </w:num>
  <w:num w:numId="28">
    <w:abstractNumId w:val="29"/>
  </w:num>
  <w:num w:numId="29">
    <w:abstractNumId w:val="27"/>
  </w:num>
  <w:num w:numId="30">
    <w:abstractNumId w:val="42"/>
  </w:num>
  <w:num w:numId="31">
    <w:abstractNumId w:val="11"/>
  </w:num>
  <w:num w:numId="32">
    <w:abstractNumId w:val="20"/>
  </w:num>
  <w:num w:numId="33">
    <w:abstractNumId w:val="23"/>
  </w:num>
  <w:num w:numId="34">
    <w:abstractNumId w:val="4"/>
  </w:num>
  <w:num w:numId="35">
    <w:abstractNumId w:val="41"/>
  </w:num>
  <w:num w:numId="36">
    <w:abstractNumId w:val="5"/>
  </w:num>
  <w:num w:numId="37">
    <w:abstractNumId w:val="24"/>
  </w:num>
  <w:num w:numId="38">
    <w:abstractNumId w:val="31"/>
  </w:num>
  <w:num w:numId="39">
    <w:abstractNumId w:val="36"/>
  </w:num>
  <w:num w:numId="40">
    <w:abstractNumId w:val="3"/>
  </w:num>
  <w:num w:numId="41">
    <w:abstractNumId w:val="22"/>
  </w:num>
  <w:num w:numId="42">
    <w:abstractNumId w:val="1"/>
  </w:num>
  <w:num w:numId="43">
    <w:abstractNumId w:val="18"/>
  </w:num>
  <w:num w:numId="44">
    <w:abstractNumId w:val="43"/>
  </w:num>
  <w:num w:numId="45">
    <w:abstractNumId w:val="45"/>
  </w:num>
  <w:num w:numId="46">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D4"/>
    <w:rsid w:val="000002DD"/>
    <w:rsid w:val="000051EC"/>
    <w:rsid w:val="00007D6A"/>
    <w:rsid w:val="0001327D"/>
    <w:rsid w:val="00021DCA"/>
    <w:rsid w:val="0003266C"/>
    <w:rsid w:val="000370A9"/>
    <w:rsid w:val="0005376C"/>
    <w:rsid w:val="00065807"/>
    <w:rsid w:val="00081ED9"/>
    <w:rsid w:val="000832C7"/>
    <w:rsid w:val="000A2E70"/>
    <w:rsid w:val="000B79AB"/>
    <w:rsid w:val="000D3584"/>
    <w:rsid w:val="000D4A65"/>
    <w:rsid w:val="000D67C2"/>
    <w:rsid w:val="000E21E4"/>
    <w:rsid w:val="000F3893"/>
    <w:rsid w:val="00102481"/>
    <w:rsid w:val="00104108"/>
    <w:rsid w:val="001171EE"/>
    <w:rsid w:val="00123F78"/>
    <w:rsid w:val="001266BA"/>
    <w:rsid w:val="00135095"/>
    <w:rsid w:val="00140CB1"/>
    <w:rsid w:val="00144F25"/>
    <w:rsid w:val="00162BC1"/>
    <w:rsid w:val="001846B3"/>
    <w:rsid w:val="00190554"/>
    <w:rsid w:val="0019551F"/>
    <w:rsid w:val="001B17CF"/>
    <w:rsid w:val="001B3F3C"/>
    <w:rsid w:val="001C0D80"/>
    <w:rsid w:val="001C491C"/>
    <w:rsid w:val="001C4DE3"/>
    <w:rsid w:val="001D52C3"/>
    <w:rsid w:val="001D576D"/>
    <w:rsid w:val="001E185E"/>
    <w:rsid w:val="001E6575"/>
    <w:rsid w:val="00203B98"/>
    <w:rsid w:val="00205751"/>
    <w:rsid w:val="00223BFE"/>
    <w:rsid w:val="00232256"/>
    <w:rsid w:val="00241772"/>
    <w:rsid w:val="00256ADB"/>
    <w:rsid w:val="002901BD"/>
    <w:rsid w:val="0029240C"/>
    <w:rsid w:val="0029333A"/>
    <w:rsid w:val="00296302"/>
    <w:rsid w:val="002A78A3"/>
    <w:rsid w:val="002B6931"/>
    <w:rsid w:val="002C6444"/>
    <w:rsid w:val="002E3F34"/>
    <w:rsid w:val="002F6F72"/>
    <w:rsid w:val="003143DA"/>
    <w:rsid w:val="003205AF"/>
    <w:rsid w:val="003212CF"/>
    <w:rsid w:val="003230A5"/>
    <w:rsid w:val="00323D5D"/>
    <w:rsid w:val="003304B0"/>
    <w:rsid w:val="00331938"/>
    <w:rsid w:val="00332003"/>
    <w:rsid w:val="003335DE"/>
    <w:rsid w:val="00335BB1"/>
    <w:rsid w:val="00340DBD"/>
    <w:rsid w:val="00343D7F"/>
    <w:rsid w:val="0034757D"/>
    <w:rsid w:val="003565CA"/>
    <w:rsid w:val="003618B0"/>
    <w:rsid w:val="003659E8"/>
    <w:rsid w:val="00371821"/>
    <w:rsid w:val="003778C8"/>
    <w:rsid w:val="00380270"/>
    <w:rsid w:val="00384AEF"/>
    <w:rsid w:val="00391F96"/>
    <w:rsid w:val="00397658"/>
    <w:rsid w:val="003A2428"/>
    <w:rsid w:val="003A40AE"/>
    <w:rsid w:val="003B1224"/>
    <w:rsid w:val="003B19EE"/>
    <w:rsid w:val="003B2BD7"/>
    <w:rsid w:val="003C647C"/>
    <w:rsid w:val="003F299B"/>
    <w:rsid w:val="003F57CF"/>
    <w:rsid w:val="00410D82"/>
    <w:rsid w:val="00412489"/>
    <w:rsid w:val="00420754"/>
    <w:rsid w:val="00422CBB"/>
    <w:rsid w:val="00423534"/>
    <w:rsid w:val="00425C61"/>
    <w:rsid w:val="004279E7"/>
    <w:rsid w:val="00432331"/>
    <w:rsid w:val="00435748"/>
    <w:rsid w:val="00437389"/>
    <w:rsid w:val="004459E1"/>
    <w:rsid w:val="00456DE8"/>
    <w:rsid w:val="00461814"/>
    <w:rsid w:val="00462612"/>
    <w:rsid w:val="004820B6"/>
    <w:rsid w:val="00492BA0"/>
    <w:rsid w:val="004A3A13"/>
    <w:rsid w:val="004A4B1D"/>
    <w:rsid w:val="004A550B"/>
    <w:rsid w:val="004D11E5"/>
    <w:rsid w:val="004D2871"/>
    <w:rsid w:val="00501242"/>
    <w:rsid w:val="0050218E"/>
    <w:rsid w:val="00503986"/>
    <w:rsid w:val="005220BB"/>
    <w:rsid w:val="0052687B"/>
    <w:rsid w:val="00530E29"/>
    <w:rsid w:val="00531331"/>
    <w:rsid w:val="0053479E"/>
    <w:rsid w:val="005440E3"/>
    <w:rsid w:val="00544D51"/>
    <w:rsid w:val="0054507E"/>
    <w:rsid w:val="005454B4"/>
    <w:rsid w:val="005504D1"/>
    <w:rsid w:val="00556237"/>
    <w:rsid w:val="00566CE3"/>
    <w:rsid w:val="00567E3D"/>
    <w:rsid w:val="00570F35"/>
    <w:rsid w:val="00572AEA"/>
    <w:rsid w:val="00581AB2"/>
    <w:rsid w:val="005A05F7"/>
    <w:rsid w:val="005A22CE"/>
    <w:rsid w:val="005B4401"/>
    <w:rsid w:val="005D6A05"/>
    <w:rsid w:val="005E64B7"/>
    <w:rsid w:val="005F094E"/>
    <w:rsid w:val="00602824"/>
    <w:rsid w:val="00603033"/>
    <w:rsid w:val="006041C5"/>
    <w:rsid w:val="00616E2F"/>
    <w:rsid w:val="0062168E"/>
    <w:rsid w:val="00623BE1"/>
    <w:rsid w:val="00626238"/>
    <w:rsid w:val="006310F6"/>
    <w:rsid w:val="00653F90"/>
    <w:rsid w:val="00655D26"/>
    <w:rsid w:val="0066493A"/>
    <w:rsid w:val="00670039"/>
    <w:rsid w:val="00672162"/>
    <w:rsid w:val="006B3A65"/>
    <w:rsid w:val="006C06FE"/>
    <w:rsid w:val="006D70E6"/>
    <w:rsid w:val="00701639"/>
    <w:rsid w:val="0071489F"/>
    <w:rsid w:val="0071668C"/>
    <w:rsid w:val="007208D6"/>
    <w:rsid w:val="00727522"/>
    <w:rsid w:val="00727AA8"/>
    <w:rsid w:val="00730041"/>
    <w:rsid w:val="007317B6"/>
    <w:rsid w:val="00743BF4"/>
    <w:rsid w:val="00750832"/>
    <w:rsid w:val="00752D76"/>
    <w:rsid w:val="00761C8B"/>
    <w:rsid w:val="007663C4"/>
    <w:rsid w:val="0077170F"/>
    <w:rsid w:val="007736DB"/>
    <w:rsid w:val="0078077F"/>
    <w:rsid w:val="00793A91"/>
    <w:rsid w:val="007A6FFE"/>
    <w:rsid w:val="007A780B"/>
    <w:rsid w:val="007B3C65"/>
    <w:rsid w:val="007B4CF0"/>
    <w:rsid w:val="007C5770"/>
    <w:rsid w:val="007D04DA"/>
    <w:rsid w:val="007D7C3D"/>
    <w:rsid w:val="007F0EC8"/>
    <w:rsid w:val="007F2ACD"/>
    <w:rsid w:val="007F35EB"/>
    <w:rsid w:val="007F5364"/>
    <w:rsid w:val="008228BC"/>
    <w:rsid w:val="00825033"/>
    <w:rsid w:val="00827967"/>
    <w:rsid w:val="008344E6"/>
    <w:rsid w:val="00836129"/>
    <w:rsid w:val="00841B5F"/>
    <w:rsid w:val="00843C20"/>
    <w:rsid w:val="00861C6E"/>
    <w:rsid w:val="00865B8A"/>
    <w:rsid w:val="00867BAA"/>
    <w:rsid w:val="00870261"/>
    <w:rsid w:val="00871BA0"/>
    <w:rsid w:val="00873DC5"/>
    <w:rsid w:val="00877202"/>
    <w:rsid w:val="008773E9"/>
    <w:rsid w:val="00880AA1"/>
    <w:rsid w:val="00882136"/>
    <w:rsid w:val="00885932"/>
    <w:rsid w:val="00891B51"/>
    <w:rsid w:val="008925C0"/>
    <w:rsid w:val="00894654"/>
    <w:rsid w:val="008C05B6"/>
    <w:rsid w:val="008D411D"/>
    <w:rsid w:val="008D42B7"/>
    <w:rsid w:val="008E1F88"/>
    <w:rsid w:val="00900D01"/>
    <w:rsid w:val="00901FF3"/>
    <w:rsid w:val="00905BA9"/>
    <w:rsid w:val="009121D9"/>
    <w:rsid w:val="00915D3C"/>
    <w:rsid w:val="0092245E"/>
    <w:rsid w:val="00925DAE"/>
    <w:rsid w:val="00926FA5"/>
    <w:rsid w:val="00944EB2"/>
    <w:rsid w:val="00944F84"/>
    <w:rsid w:val="00951D00"/>
    <w:rsid w:val="0095223C"/>
    <w:rsid w:val="00964BF7"/>
    <w:rsid w:val="00981412"/>
    <w:rsid w:val="0098308D"/>
    <w:rsid w:val="009B6A90"/>
    <w:rsid w:val="009D7ABE"/>
    <w:rsid w:val="009F03D6"/>
    <w:rsid w:val="009F0658"/>
    <w:rsid w:val="009F1A51"/>
    <w:rsid w:val="009F1CBA"/>
    <w:rsid w:val="009F5BDC"/>
    <w:rsid w:val="00A02EE4"/>
    <w:rsid w:val="00A13262"/>
    <w:rsid w:val="00A16048"/>
    <w:rsid w:val="00A208D4"/>
    <w:rsid w:val="00A20C8A"/>
    <w:rsid w:val="00A26399"/>
    <w:rsid w:val="00A27C3C"/>
    <w:rsid w:val="00A36000"/>
    <w:rsid w:val="00A42C30"/>
    <w:rsid w:val="00A46833"/>
    <w:rsid w:val="00A51EF9"/>
    <w:rsid w:val="00A54A42"/>
    <w:rsid w:val="00A61807"/>
    <w:rsid w:val="00A637C2"/>
    <w:rsid w:val="00A87CDE"/>
    <w:rsid w:val="00A87D24"/>
    <w:rsid w:val="00AA1AEA"/>
    <w:rsid w:val="00AA3FD4"/>
    <w:rsid w:val="00AA7547"/>
    <w:rsid w:val="00AB4E39"/>
    <w:rsid w:val="00AC1444"/>
    <w:rsid w:val="00AD7BE1"/>
    <w:rsid w:val="00AE03E9"/>
    <w:rsid w:val="00B06D1B"/>
    <w:rsid w:val="00B1298D"/>
    <w:rsid w:val="00B157B7"/>
    <w:rsid w:val="00B232B4"/>
    <w:rsid w:val="00B304FF"/>
    <w:rsid w:val="00B37744"/>
    <w:rsid w:val="00B80B73"/>
    <w:rsid w:val="00B93785"/>
    <w:rsid w:val="00BA65C6"/>
    <w:rsid w:val="00BB251E"/>
    <w:rsid w:val="00BB7963"/>
    <w:rsid w:val="00BC720B"/>
    <w:rsid w:val="00BD45C7"/>
    <w:rsid w:val="00BD762C"/>
    <w:rsid w:val="00BF19B3"/>
    <w:rsid w:val="00BF2AFD"/>
    <w:rsid w:val="00BF48FE"/>
    <w:rsid w:val="00BF4A1A"/>
    <w:rsid w:val="00C14A93"/>
    <w:rsid w:val="00C15064"/>
    <w:rsid w:val="00C17AAC"/>
    <w:rsid w:val="00C44846"/>
    <w:rsid w:val="00C663E2"/>
    <w:rsid w:val="00C66CFF"/>
    <w:rsid w:val="00C703C0"/>
    <w:rsid w:val="00C70781"/>
    <w:rsid w:val="00C80E88"/>
    <w:rsid w:val="00CB1A16"/>
    <w:rsid w:val="00CB2DCF"/>
    <w:rsid w:val="00CB7670"/>
    <w:rsid w:val="00CB76D7"/>
    <w:rsid w:val="00CC6485"/>
    <w:rsid w:val="00CD07CC"/>
    <w:rsid w:val="00D02CB7"/>
    <w:rsid w:val="00D15FD4"/>
    <w:rsid w:val="00D2554D"/>
    <w:rsid w:val="00D36A95"/>
    <w:rsid w:val="00D41D48"/>
    <w:rsid w:val="00D52B52"/>
    <w:rsid w:val="00D54FA0"/>
    <w:rsid w:val="00D55536"/>
    <w:rsid w:val="00D639EB"/>
    <w:rsid w:val="00D65F97"/>
    <w:rsid w:val="00D6671C"/>
    <w:rsid w:val="00D908AA"/>
    <w:rsid w:val="00DA143B"/>
    <w:rsid w:val="00DC1DB6"/>
    <w:rsid w:val="00DD7F33"/>
    <w:rsid w:val="00DF0CF9"/>
    <w:rsid w:val="00E07695"/>
    <w:rsid w:val="00E12E6C"/>
    <w:rsid w:val="00E16123"/>
    <w:rsid w:val="00E167CF"/>
    <w:rsid w:val="00E26CE0"/>
    <w:rsid w:val="00E32307"/>
    <w:rsid w:val="00E35A46"/>
    <w:rsid w:val="00E41B08"/>
    <w:rsid w:val="00E51C67"/>
    <w:rsid w:val="00E55741"/>
    <w:rsid w:val="00E617B5"/>
    <w:rsid w:val="00E74937"/>
    <w:rsid w:val="00E80673"/>
    <w:rsid w:val="00E85675"/>
    <w:rsid w:val="00E95EAD"/>
    <w:rsid w:val="00EA44AA"/>
    <w:rsid w:val="00EA4A1F"/>
    <w:rsid w:val="00EC0FC5"/>
    <w:rsid w:val="00ED2F0C"/>
    <w:rsid w:val="00ED345C"/>
    <w:rsid w:val="00EE7D65"/>
    <w:rsid w:val="00F01BD2"/>
    <w:rsid w:val="00F04030"/>
    <w:rsid w:val="00F06A89"/>
    <w:rsid w:val="00F122CB"/>
    <w:rsid w:val="00F27448"/>
    <w:rsid w:val="00F32ECD"/>
    <w:rsid w:val="00F334CC"/>
    <w:rsid w:val="00F5000A"/>
    <w:rsid w:val="00F53441"/>
    <w:rsid w:val="00F54637"/>
    <w:rsid w:val="00F63C2F"/>
    <w:rsid w:val="00F676CA"/>
    <w:rsid w:val="00F717C5"/>
    <w:rsid w:val="00F72B7C"/>
    <w:rsid w:val="00F745BD"/>
    <w:rsid w:val="00F77DB4"/>
    <w:rsid w:val="00F94590"/>
    <w:rsid w:val="00FA4037"/>
    <w:rsid w:val="00FB7F0F"/>
    <w:rsid w:val="00FE0B89"/>
    <w:rsid w:val="00FF6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2B7"/>
    <w:rPr>
      <w:lang w:eastAsia="es-ES"/>
    </w:rPr>
  </w:style>
  <w:style w:type="paragraph" w:styleId="Ttulo1">
    <w:name w:val="heading 1"/>
    <w:basedOn w:val="Normal"/>
    <w:link w:val="Ttulo1Car"/>
    <w:qFormat/>
    <w:rsid w:val="00B1298D"/>
    <w:pPr>
      <w:keepNext/>
      <w:overflowPunct w:val="0"/>
      <w:autoSpaceDE w:val="0"/>
      <w:autoSpaceDN w:val="0"/>
      <w:adjustRightInd w:val="0"/>
      <w:spacing w:before="60" w:after="60"/>
      <w:jc w:val="center"/>
      <w:textAlignment w:val="baseline"/>
      <w:outlineLvl w:val="0"/>
    </w:pPr>
    <w:rPr>
      <w:rFonts w:ascii="Arial" w:hAnsi="Arial"/>
      <w:b/>
      <w:sz w:val="28"/>
      <w:lang w:val="es-ES_tradnl"/>
    </w:rPr>
  </w:style>
  <w:style w:type="paragraph" w:styleId="Ttulo2">
    <w:name w:val="heading 2"/>
    <w:basedOn w:val="Normal"/>
    <w:next w:val="Normal"/>
    <w:qFormat/>
    <w:rsid w:val="00B1298D"/>
    <w:pPr>
      <w:keepNext/>
      <w:jc w:val="center"/>
      <w:outlineLvl w:val="1"/>
    </w:pPr>
    <w:rPr>
      <w:rFonts w:ascii="Tahoma" w:hAnsi="Tahoma" w:cs="Tahoma"/>
      <w:b/>
      <w:sz w:val="22"/>
    </w:rPr>
  </w:style>
  <w:style w:type="paragraph" w:styleId="Ttulo3">
    <w:name w:val="heading 3"/>
    <w:basedOn w:val="Normal"/>
    <w:qFormat/>
    <w:rsid w:val="00B1298D"/>
    <w:pPr>
      <w:keepNext/>
      <w:overflowPunct w:val="0"/>
      <w:autoSpaceDE w:val="0"/>
      <w:autoSpaceDN w:val="0"/>
      <w:adjustRightInd w:val="0"/>
      <w:textAlignment w:val="baseline"/>
      <w:outlineLvl w:val="2"/>
    </w:pPr>
    <w:rPr>
      <w:rFonts w:ascii="Arial" w:hAnsi="Arial"/>
      <w:b/>
      <w:lang w:val="es-ES_tradnl"/>
    </w:rPr>
  </w:style>
  <w:style w:type="paragraph" w:styleId="Ttulo4">
    <w:name w:val="heading 4"/>
    <w:basedOn w:val="Normal"/>
    <w:qFormat/>
    <w:rsid w:val="00B1298D"/>
    <w:pPr>
      <w:keepNext/>
      <w:overflowPunct w:val="0"/>
      <w:autoSpaceDE w:val="0"/>
      <w:autoSpaceDN w:val="0"/>
      <w:adjustRightInd w:val="0"/>
      <w:jc w:val="center"/>
      <w:textAlignment w:val="baseline"/>
      <w:outlineLvl w:val="3"/>
    </w:pPr>
    <w:rPr>
      <w:rFonts w:ascii="Arial" w:hAnsi="Arial"/>
      <w:lang w:val="es-ES_tradnl"/>
    </w:rPr>
  </w:style>
  <w:style w:type="paragraph" w:styleId="Ttulo5">
    <w:name w:val="heading 5"/>
    <w:basedOn w:val="Normal"/>
    <w:next w:val="Normal"/>
    <w:qFormat/>
    <w:rsid w:val="00B1298D"/>
    <w:pPr>
      <w:keepNext/>
      <w:jc w:val="center"/>
      <w:outlineLvl w:val="4"/>
    </w:pPr>
    <w:rPr>
      <w:rFonts w:ascii="Arial" w:hAnsi="Arial"/>
      <w:b/>
      <w:sz w:val="16"/>
    </w:rPr>
  </w:style>
  <w:style w:type="paragraph" w:styleId="Ttulo6">
    <w:name w:val="heading 6"/>
    <w:basedOn w:val="Normal"/>
    <w:next w:val="Normal"/>
    <w:qFormat/>
    <w:rsid w:val="00B1298D"/>
    <w:pPr>
      <w:keepNext/>
      <w:jc w:val="both"/>
      <w:outlineLvl w:val="5"/>
    </w:pPr>
    <w:rPr>
      <w:rFonts w:ascii="Arial" w:hAnsi="Arial" w:cs="Arial"/>
      <w:b/>
      <w:sz w:val="22"/>
    </w:rPr>
  </w:style>
  <w:style w:type="paragraph" w:styleId="Ttulo7">
    <w:name w:val="heading 7"/>
    <w:basedOn w:val="Normal"/>
    <w:next w:val="Normal"/>
    <w:qFormat/>
    <w:rsid w:val="00B1298D"/>
    <w:pPr>
      <w:keepNext/>
      <w:jc w:val="both"/>
      <w:outlineLvl w:val="6"/>
    </w:pPr>
    <w:rPr>
      <w:rFonts w:ascii="Arial" w:hAnsi="Arial" w:cs="Arial"/>
      <w:b/>
    </w:rPr>
  </w:style>
  <w:style w:type="paragraph" w:styleId="Ttulo8">
    <w:name w:val="heading 8"/>
    <w:basedOn w:val="Normal"/>
    <w:next w:val="Normal"/>
    <w:qFormat/>
    <w:rsid w:val="00B1298D"/>
    <w:pPr>
      <w:keepNext/>
      <w:tabs>
        <w:tab w:val="left" w:pos="9202"/>
      </w:tabs>
      <w:overflowPunct w:val="0"/>
      <w:autoSpaceDE w:val="0"/>
      <w:autoSpaceDN w:val="0"/>
      <w:adjustRightInd w:val="0"/>
      <w:ind w:firstLine="1418"/>
      <w:textAlignment w:val="baseline"/>
      <w:outlineLvl w:val="7"/>
    </w:pPr>
    <w:rPr>
      <w:b/>
      <w:bCs/>
      <w:lang w:val="es-ES_tradnl"/>
    </w:rPr>
  </w:style>
  <w:style w:type="paragraph" w:styleId="Ttulo9">
    <w:name w:val="heading 9"/>
    <w:basedOn w:val="Normal"/>
    <w:next w:val="Normal"/>
    <w:qFormat/>
    <w:rsid w:val="00B1298D"/>
    <w:pPr>
      <w:keepNext/>
      <w:overflowPunct w:val="0"/>
      <w:autoSpaceDE w:val="0"/>
      <w:autoSpaceDN w:val="0"/>
      <w:adjustRightInd w:val="0"/>
      <w:spacing w:before="60" w:after="60"/>
      <w:textAlignment w:val="baseline"/>
      <w:outlineLvl w:val="8"/>
    </w:pPr>
    <w:rPr>
      <w:rFonts w:ascii="Arial" w:hAnsi="Arial" w:cs="Arial"/>
      <w:b/>
      <w:bCs/>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298D"/>
    <w:pPr>
      <w:tabs>
        <w:tab w:val="center" w:pos="4419"/>
        <w:tab w:val="right" w:pos="8838"/>
      </w:tabs>
    </w:pPr>
  </w:style>
  <w:style w:type="paragraph" w:styleId="Piedepgina">
    <w:name w:val="footer"/>
    <w:basedOn w:val="Normal"/>
    <w:link w:val="PiedepginaCar"/>
    <w:uiPriority w:val="99"/>
    <w:rsid w:val="00B1298D"/>
    <w:pPr>
      <w:tabs>
        <w:tab w:val="center" w:pos="4419"/>
        <w:tab w:val="right" w:pos="8838"/>
      </w:tabs>
    </w:pPr>
  </w:style>
  <w:style w:type="character" w:styleId="Nmerodepgina">
    <w:name w:val="page number"/>
    <w:rsid w:val="00B1298D"/>
    <w:rPr>
      <w:rFonts w:ascii="Times New Roman" w:hAnsi="Times New Roman"/>
      <w:color w:val="auto"/>
      <w:spacing w:val="0"/>
      <w:sz w:val="24"/>
    </w:rPr>
  </w:style>
  <w:style w:type="paragraph" w:styleId="Textoindependiente">
    <w:name w:val="Body Text"/>
    <w:basedOn w:val="Normal"/>
    <w:rsid w:val="00B1298D"/>
    <w:pPr>
      <w:overflowPunct w:val="0"/>
      <w:autoSpaceDE w:val="0"/>
      <w:autoSpaceDN w:val="0"/>
      <w:adjustRightInd w:val="0"/>
      <w:jc w:val="both"/>
      <w:textAlignment w:val="baseline"/>
    </w:pPr>
    <w:rPr>
      <w:rFonts w:ascii="Arial" w:hAnsi="Arial"/>
      <w:lang w:val="es-ES_tradnl"/>
    </w:rPr>
  </w:style>
  <w:style w:type="paragraph" w:styleId="Textoindependiente3">
    <w:name w:val="Body Text 3"/>
    <w:basedOn w:val="Normal"/>
    <w:rsid w:val="00B1298D"/>
    <w:pPr>
      <w:jc w:val="both"/>
    </w:pPr>
    <w:rPr>
      <w:rFonts w:ascii="Arial" w:hAnsi="Arial"/>
      <w:b/>
      <w:bCs/>
    </w:rPr>
  </w:style>
  <w:style w:type="paragraph" w:styleId="Sangra2detindependiente">
    <w:name w:val="Body Text Indent 2"/>
    <w:basedOn w:val="Normal"/>
    <w:rsid w:val="00B1298D"/>
    <w:pPr>
      <w:tabs>
        <w:tab w:val="left" w:pos="851"/>
      </w:tabs>
      <w:ind w:left="851" w:hanging="851"/>
      <w:jc w:val="both"/>
    </w:pPr>
    <w:rPr>
      <w:rFonts w:ascii="Arial" w:hAnsi="Arial"/>
      <w:sz w:val="22"/>
    </w:rPr>
  </w:style>
  <w:style w:type="paragraph" w:styleId="Textoindependiente2">
    <w:name w:val="Body Text 2"/>
    <w:basedOn w:val="Normal"/>
    <w:rsid w:val="00B1298D"/>
    <w:pPr>
      <w:tabs>
        <w:tab w:val="left" w:pos="851"/>
      </w:tabs>
      <w:ind w:right="360"/>
    </w:pPr>
    <w:rPr>
      <w:rFonts w:ascii="Arial" w:hAnsi="Arial"/>
      <w:sz w:val="22"/>
    </w:rPr>
  </w:style>
  <w:style w:type="paragraph" w:styleId="Sangradetextonormal">
    <w:name w:val="Body Text Indent"/>
    <w:basedOn w:val="Normal"/>
    <w:rsid w:val="00B1298D"/>
    <w:pPr>
      <w:ind w:left="1260" w:hanging="720"/>
      <w:jc w:val="both"/>
    </w:pPr>
    <w:rPr>
      <w:rFonts w:ascii="Tahoma" w:hAnsi="Tahoma" w:cs="Tahoma"/>
      <w:b/>
    </w:rPr>
  </w:style>
  <w:style w:type="paragraph" w:styleId="Sangra3detindependiente">
    <w:name w:val="Body Text Indent 3"/>
    <w:basedOn w:val="Normal"/>
    <w:rsid w:val="00B1298D"/>
    <w:pPr>
      <w:ind w:left="360"/>
      <w:jc w:val="both"/>
    </w:pPr>
    <w:rPr>
      <w:rFonts w:ascii="Arial" w:hAnsi="Arial" w:cs="Arial"/>
      <w:bCs/>
      <w:sz w:val="22"/>
    </w:rPr>
  </w:style>
  <w:style w:type="paragraph" w:customStyle="1" w:styleId="Textoindependiente1">
    <w:name w:val="Texto independiente1"/>
    <w:basedOn w:val="Normal"/>
    <w:rsid w:val="00B1298D"/>
    <w:pPr>
      <w:overflowPunct w:val="0"/>
      <w:autoSpaceDE w:val="0"/>
      <w:autoSpaceDN w:val="0"/>
      <w:adjustRightInd w:val="0"/>
      <w:jc w:val="both"/>
      <w:textAlignment w:val="baseline"/>
    </w:pPr>
    <w:rPr>
      <w:rFonts w:ascii="Arial" w:hAnsi="Arial"/>
      <w:lang w:val="es-ES_tradnl"/>
    </w:rPr>
  </w:style>
  <w:style w:type="paragraph" w:styleId="Textodeglobo">
    <w:name w:val="Balloon Text"/>
    <w:basedOn w:val="Normal"/>
    <w:semiHidden/>
    <w:rsid w:val="00205751"/>
    <w:rPr>
      <w:rFonts w:ascii="Tahoma" w:hAnsi="Tahoma" w:cs="Tahoma"/>
      <w:sz w:val="16"/>
      <w:szCs w:val="16"/>
    </w:rPr>
  </w:style>
  <w:style w:type="table" w:styleId="Tablaconcuadrcula">
    <w:name w:val="Table Grid"/>
    <w:basedOn w:val="Tablanormal"/>
    <w:uiPriority w:val="59"/>
    <w:rsid w:val="007D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2245E"/>
    <w:rPr>
      <w:lang w:val="es-ES_tradnl" w:eastAsia="en-US"/>
    </w:rPr>
  </w:style>
  <w:style w:type="paragraph" w:styleId="Textomacro">
    <w:name w:val="macro"/>
    <w:semiHidden/>
    <w:rsid w:val="00A51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BlockLine">
    <w:name w:val="Block Line"/>
    <w:basedOn w:val="Normal"/>
    <w:next w:val="Normal"/>
    <w:rsid w:val="00A51EF9"/>
    <w:pPr>
      <w:pBdr>
        <w:top w:val="single" w:sz="6" w:space="1" w:color="auto"/>
        <w:between w:val="single" w:sz="6" w:space="1" w:color="auto"/>
      </w:pBdr>
      <w:spacing w:before="240"/>
      <w:ind w:left="1700"/>
    </w:pPr>
    <w:rPr>
      <w:lang w:val="es-ES_tradnl" w:eastAsia="en-US"/>
    </w:rPr>
  </w:style>
  <w:style w:type="paragraph" w:styleId="Textodebloque">
    <w:name w:val="Block Text"/>
    <w:basedOn w:val="Normal"/>
    <w:rsid w:val="00A51EF9"/>
    <w:rPr>
      <w:lang w:val="es-ES_tradnl" w:eastAsia="en-US"/>
    </w:rPr>
  </w:style>
  <w:style w:type="paragraph" w:styleId="Prrafodelista">
    <w:name w:val="List Paragraph"/>
    <w:basedOn w:val="Normal"/>
    <w:uiPriority w:val="99"/>
    <w:qFormat/>
    <w:rsid w:val="005F094E"/>
    <w:pPr>
      <w:ind w:left="708"/>
    </w:pPr>
    <w:rPr>
      <w:rFonts w:ascii="Arial" w:eastAsia="Calibri" w:hAnsi="Arial"/>
      <w:sz w:val="24"/>
      <w:szCs w:val="22"/>
      <w:lang w:eastAsia="en-US"/>
    </w:rPr>
  </w:style>
  <w:style w:type="paragraph" w:styleId="Textocomentario">
    <w:name w:val="annotation text"/>
    <w:basedOn w:val="Normal"/>
    <w:link w:val="TextocomentarioCar"/>
    <w:uiPriority w:val="99"/>
    <w:rsid w:val="005F094E"/>
    <w:rPr>
      <w:rFonts w:ascii="Arial" w:eastAsia="Calibri" w:hAnsi="Arial"/>
      <w:lang w:eastAsia="en-US"/>
    </w:rPr>
  </w:style>
  <w:style w:type="character" w:customStyle="1" w:styleId="TextocomentarioCar">
    <w:name w:val="Texto comentario Car"/>
    <w:basedOn w:val="Fuentedeprrafopredeter"/>
    <w:link w:val="Textocomentario"/>
    <w:uiPriority w:val="99"/>
    <w:rsid w:val="005F094E"/>
    <w:rPr>
      <w:rFonts w:ascii="Arial" w:eastAsia="Calibri" w:hAnsi="Arial"/>
      <w:lang w:eastAsia="en-US"/>
    </w:rPr>
  </w:style>
  <w:style w:type="character" w:styleId="Hipervnculo">
    <w:name w:val="Hyperlink"/>
    <w:basedOn w:val="Fuentedeprrafopredeter"/>
    <w:uiPriority w:val="99"/>
    <w:rsid w:val="005F094E"/>
    <w:rPr>
      <w:rFonts w:cs="Times New Roman"/>
      <w:color w:val="0000FF"/>
      <w:u w:val="single"/>
    </w:rPr>
  </w:style>
  <w:style w:type="paragraph" w:customStyle="1" w:styleId="Para1">
    <w:name w:val="Para1"/>
    <w:basedOn w:val="Normal"/>
    <w:link w:val="Para1Char"/>
    <w:uiPriority w:val="99"/>
    <w:rsid w:val="005F094E"/>
    <w:pPr>
      <w:numPr>
        <w:numId w:val="1"/>
      </w:numPr>
      <w:spacing w:before="120" w:after="120"/>
      <w:jc w:val="both"/>
    </w:pPr>
    <w:rPr>
      <w:sz w:val="22"/>
      <w:szCs w:val="18"/>
      <w:lang w:val="en-GB" w:eastAsia="en-US"/>
    </w:rPr>
  </w:style>
  <w:style w:type="paragraph" w:customStyle="1" w:styleId="Para3">
    <w:name w:val="Para3"/>
    <w:basedOn w:val="Normal"/>
    <w:uiPriority w:val="99"/>
    <w:rsid w:val="005F094E"/>
    <w:pPr>
      <w:numPr>
        <w:ilvl w:val="2"/>
        <w:numId w:val="1"/>
      </w:numPr>
      <w:spacing w:before="80" w:after="80"/>
      <w:jc w:val="both"/>
    </w:pPr>
    <w:rPr>
      <w:sz w:val="22"/>
      <w:lang w:val="en-GB" w:eastAsia="en-US"/>
    </w:rPr>
  </w:style>
  <w:style w:type="paragraph" w:customStyle="1" w:styleId="Para4">
    <w:name w:val="Para4"/>
    <w:basedOn w:val="Para3"/>
    <w:uiPriority w:val="99"/>
    <w:rsid w:val="005F094E"/>
    <w:pPr>
      <w:numPr>
        <w:ilvl w:val="7"/>
      </w:numPr>
      <w:tabs>
        <w:tab w:val="left" w:pos="2552"/>
      </w:tabs>
    </w:pPr>
  </w:style>
  <w:style w:type="character" w:customStyle="1" w:styleId="Para1Char">
    <w:name w:val="Para1 Char"/>
    <w:basedOn w:val="Fuentedeprrafopredeter"/>
    <w:link w:val="Para1"/>
    <w:uiPriority w:val="99"/>
    <w:locked/>
    <w:rsid w:val="005F094E"/>
    <w:rPr>
      <w:sz w:val="22"/>
      <w:szCs w:val="18"/>
      <w:lang w:val="en-GB" w:eastAsia="en-US"/>
    </w:rPr>
  </w:style>
  <w:style w:type="character" w:styleId="Refdecomentario">
    <w:name w:val="annotation reference"/>
    <w:basedOn w:val="Fuentedeprrafopredeter"/>
    <w:rsid w:val="00422CBB"/>
    <w:rPr>
      <w:sz w:val="16"/>
      <w:szCs w:val="16"/>
    </w:rPr>
  </w:style>
  <w:style w:type="paragraph" w:styleId="Asuntodelcomentario">
    <w:name w:val="annotation subject"/>
    <w:basedOn w:val="Textocomentario"/>
    <w:next w:val="Textocomentario"/>
    <w:link w:val="AsuntodelcomentarioCar"/>
    <w:rsid w:val="00422CBB"/>
    <w:rPr>
      <w:rFonts w:ascii="Times New Roman" w:eastAsia="Times New Roman" w:hAnsi="Times New Roman"/>
      <w:b/>
      <w:bCs/>
      <w:lang w:eastAsia="es-ES"/>
    </w:rPr>
  </w:style>
  <w:style w:type="character" w:customStyle="1" w:styleId="AsuntodelcomentarioCar">
    <w:name w:val="Asunto del comentario Car"/>
    <w:basedOn w:val="TextocomentarioCar"/>
    <w:link w:val="Asuntodelcomentario"/>
    <w:rsid w:val="00422CBB"/>
    <w:rPr>
      <w:rFonts w:ascii="Arial" w:eastAsia="Calibri" w:hAnsi="Arial"/>
      <w:b/>
      <w:bCs/>
      <w:lang w:eastAsia="es-ES"/>
    </w:rPr>
  </w:style>
  <w:style w:type="paragraph" w:customStyle="1" w:styleId="Prrafodelista1">
    <w:name w:val="Párrafo de lista1"/>
    <w:basedOn w:val="Normal"/>
    <w:rsid w:val="001E185E"/>
    <w:pPr>
      <w:ind w:left="720"/>
      <w:contextualSpacing/>
    </w:pPr>
    <w:rPr>
      <w:rFonts w:ascii="Calibri" w:hAnsi="Calibri"/>
      <w:sz w:val="22"/>
      <w:szCs w:val="22"/>
      <w:lang w:val="es-ES" w:eastAsia="en-US"/>
    </w:rPr>
  </w:style>
  <w:style w:type="paragraph" w:customStyle="1" w:styleId="Default">
    <w:name w:val="Default"/>
    <w:rsid w:val="001E185E"/>
    <w:pPr>
      <w:autoSpaceDE w:val="0"/>
      <w:autoSpaceDN w:val="0"/>
      <w:adjustRightInd w:val="0"/>
    </w:pPr>
    <w:rPr>
      <w:rFonts w:eastAsiaTheme="minorHAnsi"/>
      <w:color w:val="000000"/>
      <w:sz w:val="24"/>
      <w:szCs w:val="24"/>
      <w:lang w:eastAsia="en-US"/>
    </w:rPr>
  </w:style>
  <w:style w:type="character" w:customStyle="1" w:styleId="Ttulo1Car">
    <w:name w:val="Título 1 Car"/>
    <w:basedOn w:val="Fuentedeprrafopredeter"/>
    <w:link w:val="Ttulo1"/>
    <w:rsid w:val="007F35EB"/>
    <w:rPr>
      <w:rFonts w:ascii="Arial" w:hAnsi="Arial"/>
      <w:b/>
      <w:sz w:val="28"/>
      <w:lang w:val="es-ES_tradnl" w:eastAsia="es-ES"/>
    </w:rPr>
  </w:style>
  <w:style w:type="character" w:customStyle="1" w:styleId="EncabezadoCar">
    <w:name w:val="Encabezado Car"/>
    <w:basedOn w:val="Fuentedeprrafopredeter"/>
    <w:link w:val="Encabezado"/>
    <w:uiPriority w:val="99"/>
    <w:rsid w:val="007F35EB"/>
    <w:rPr>
      <w:lang w:eastAsia="es-ES"/>
    </w:rPr>
  </w:style>
  <w:style w:type="character" w:customStyle="1" w:styleId="PiedepginaCar">
    <w:name w:val="Pie de página Car"/>
    <w:basedOn w:val="Fuentedeprrafopredeter"/>
    <w:link w:val="Piedepgina"/>
    <w:uiPriority w:val="99"/>
    <w:rsid w:val="00D639EB"/>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2B7"/>
    <w:rPr>
      <w:lang w:eastAsia="es-ES"/>
    </w:rPr>
  </w:style>
  <w:style w:type="paragraph" w:styleId="Ttulo1">
    <w:name w:val="heading 1"/>
    <w:basedOn w:val="Normal"/>
    <w:link w:val="Ttulo1Car"/>
    <w:qFormat/>
    <w:rsid w:val="00B1298D"/>
    <w:pPr>
      <w:keepNext/>
      <w:overflowPunct w:val="0"/>
      <w:autoSpaceDE w:val="0"/>
      <w:autoSpaceDN w:val="0"/>
      <w:adjustRightInd w:val="0"/>
      <w:spacing w:before="60" w:after="60"/>
      <w:jc w:val="center"/>
      <w:textAlignment w:val="baseline"/>
      <w:outlineLvl w:val="0"/>
    </w:pPr>
    <w:rPr>
      <w:rFonts w:ascii="Arial" w:hAnsi="Arial"/>
      <w:b/>
      <w:sz w:val="28"/>
      <w:lang w:val="es-ES_tradnl"/>
    </w:rPr>
  </w:style>
  <w:style w:type="paragraph" w:styleId="Ttulo2">
    <w:name w:val="heading 2"/>
    <w:basedOn w:val="Normal"/>
    <w:next w:val="Normal"/>
    <w:qFormat/>
    <w:rsid w:val="00B1298D"/>
    <w:pPr>
      <w:keepNext/>
      <w:jc w:val="center"/>
      <w:outlineLvl w:val="1"/>
    </w:pPr>
    <w:rPr>
      <w:rFonts w:ascii="Tahoma" w:hAnsi="Tahoma" w:cs="Tahoma"/>
      <w:b/>
      <w:sz w:val="22"/>
    </w:rPr>
  </w:style>
  <w:style w:type="paragraph" w:styleId="Ttulo3">
    <w:name w:val="heading 3"/>
    <w:basedOn w:val="Normal"/>
    <w:qFormat/>
    <w:rsid w:val="00B1298D"/>
    <w:pPr>
      <w:keepNext/>
      <w:overflowPunct w:val="0"/>
      <w:autoSpaceDE w:val="0"/>
      <w:autoSpaceDN w:val="0"/>
      <w:adjustRightInd w:val="0"/>
      <w:textAlignment w:val="baseline"/>
      <w:outlineLvl w:val="2"/>
    </w:pPr>
    <w:rPr>
      <w:rFonts w:ascii="Arial" w:hAnsi="Arial"/>
      <w:b/>
      <w:lang w:val="es-ES_tradnl"/>
    </w:rPr>
  </w:style>
  <w:style w:type="paragraph" w:styleId="Ttulo4">
    <w:name w:val="heading 4"/>
    <w:basedOn w:val="Normal"/>
    <w:qFormat/>
    <w:rsid w:val="00B1298D"/>
    <w:pPr>
      <w:keepNext/>
      <w:overflowPunct w:val="0"/>
      <w:autoSpaceDE w:val="0"/>
      <w:autoSpaceDN w:val="0"/>
      <w:adjustRightInd w:val="0"/>
      <w:jc w:val="center"/>
      <w:textAlignment w:val="baseline"/>
      <w:outlineLvl w:val="3"/>
    </w:pPr>
    <w:rPr>
      <w:rFonts w:ascii="Arial" w:hAnsi="Arial"/>
      <w:lang w:val="es-ES_tradnl"/>
    </w:rPr>
  </w:style>
  <w:style w:type="paragraph" w:styleId="Ttulo5">
    <w:name w:val="heading 5"/>
    <w:basedOn w:val="Normal"/>
    <w:next w:val="Normal"/>
    <w:qFormat/>
    <w:rsid w:val="00B1298D"/>
    <w:pPr>
      <w:keepNext/>
      <w:jc w:val="center"/>
      <w:outlineLvl w:val="4"/>
    </w:pPr>
    <w:rPr>
      <w:rFonts w:ascii="Arial" w:hAnsi="Arial"/>
      <w:b/>
      <w:sz w:val="16"/>
    </w:rPr>
  </w:style>
  <w:style w:type="paragraph" w:styleId="Ttulo6">
    <w:name w:val="heading 6"/>
    <w:basedOn w:val="Normal"/>
    <w:next w:val="Normal"/>
    <w:qFormat/>
    <w:rsid w:val="00B1298D"/>
    <w:pPr>
      <w:keepNext/>
      <w:jc w:val="both"/>
      <w:outlineLvl w:val="5"/>
    </w:pPr>
    <w:rPr>
      <w:rFonts w:ascii="Arial" w:hAnsi="Arial" w:cs="Arial"/>
      <w:b/>
      <w:sz w:val="22"/>
    </w:rPr>
  </w:style>
  <w:style w:type="paragraph" w:styleId="Ttulo7">
    <w:name w:val="heading 7"/>
    <w:basedOn w:val="Normal"/>
    <w:next w:val="Normal"/>
    <w:qFormat/>
    <w:rsid w:val="00B1298D"/>
    <w:pPr>
      <w:keepNext/>
      <w:jc w:val="both"/>
      <w:outlineLvl w:val="6"/>
    </w:pPr>
    <w:rPr>
      <w:rFonts w:ascii="Arial" w:hAnsi="Arial" w:cs="Arial"/>
      <w:b/>
    </w:rPr>
  </w:style>
  <w:style w:type="paragraph" w:styleId="Ttulo8">
    <w:name w:val="heading 8"/>
    <w:basedOn w:val="Normal"/>
    <w:next w:val="Normal"/>
    <w:qFormat/>
    <w:rsid w:val="00B1298D"/>
    <w:pPr>
      <w:keepNext/>
      <w:tabs>
        <w:tab w:val="left" w:pos="9202"/>
      </w:tabs>
      <w:overflowPunct w:val="0"/>
      <w:autoSpaceDE w:val="0"/>
      <w:autoSpaceDN w:val="0"/>
      <w:adjustRightInd w:val="0"/>
      <w:ind w:firstLine="1418"/>
      <w:textAlignment w:val="baseline"/>
      <w:outlineLvl w:val="7"/>
    </w:pPr>
    <w:rPr>
      <w:b/>
      <w:bCs/>
      <w:lang w:val="es-ES_tradnl"/>
    </w:rPr>
  </w:style>
  <w:style w:type="paragraph" w:styleId="Ttulo9">
    <w:name w:val="heading 9"/>
    <w:basedOn w:val="Normal"/>
    <w:next w:val="Normal"/>
    <w:qFormat/>
    <w:rsid w:val="00B1298D"/>
    <w:pPr>
      <w:keepNext/>
      <w:overflowPunct w:val="0"/>
      <w:autoSpaceDE w:val="0"/>
      <w:autoSpaceDN w:val="0"/>
      <w:adjustRightInd w:val="0"/>
      <w:spacing w:before="60" w:after="60"/>
      <w:textAlignment w:val="baseline"/>
      <w:outlineLvl w:val="8"/>
    </w:pPr>
    <w:rPr>
      <w:rFonts w:ascii="Arial" w:hAnsi="Arial" w:cs="Arial"/>
      <w:b/>
      <w:bCs/>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298D"/>
    <w:pPr>
      <w:tabs>
        <w:tab w:val="center" w:pos="4419"/>
        <w:tab w:val="right" w:pos="8838"/>
      </w:tabs>
    </w:pPr>
  </w:style>
  <w:style w:type="paragraph" w:styleId="Piedepgina">
    <w:name w:val="footer"/>
    <w:basedOn w:val="Normal"/>
    <w:link w:val="PiedepginaCar"/>
    <w:uiPriority w:val="99"/>
    <w:rsid w:val="00B1298D"/>
    <w:pPr>
      <w:tabs>
        <w:tab w:val="center" w:pos="4419"/>
        <w:tab w:val="right" w:pos="8838"/>
      </w:tabs>
    </w:pPr>
  </w:style>
  <w:style w:type="character" w:styleId="Nmerodepgina">
    <w:name w:val="page number"/>
    <w:rsid w:val="00B1298D"/>
    <w:rPr>
      <w:rFonts w:ascii="Times New Roman" w:hAnsi="Times New Roman"/>
      <w:color w:val="auto"/>
      <w:spacing w:val="0"/>
      <w:sz w:val="24"/>
    </w:rPr>
  </w:style>
  <w:style w:type="paragraph" w:styleId="Textoindependiente">
    <w:name w:val="Body Text"/>
    <w:basedOn w:val="Normal"/>
    <w:rsid w:val="00B1298D"/>
    <w:pPr>
      <w:overflowPunct w:val="0"/>
      <w:autoSpaceDE w:val="0"/>
      <w:autoSpaceDN w:val="0"/>
      <w:adjustRightInd w:val="0"/>
      <w:jc w:val="both"/>
      <w:textAlignment w:val="baseline"/>
    </w:pPr>
    <w:rPr>
      <w:rFonts w:ascii="Arial" w:hAnsi="Arial"/>
      <w:lang w:val="es-ES_tradnl"/>
    </w:rPr>
  </w:style>
  <w:style w:type="paragraph" w:styleId="Textoindependiente3">
    <w:name w:val="Body Text 3"/>
    <w:basedOn w:val="Normal"/>
    <w:rsid w:val="00B1298D"/>
    <w:pPr>
      <w:jc w:val="both"/>
    </w:pPr>
    <w:rPr>
      <w:rFonts w:ascii="Arial" w:hAnsi="Arial"/>
      <w:b/>
      <w:bCs/>
    </w:rPr>
  </w:style>
  <w:style w:type="paragraph" w:styleId="Sangra2detindependiente">
    <w:name w:val="Body Text Indent 2"/>
    <w:basedOn w:val="Normal"/>
    <w:rsid w:val="00B1298D"/>
    <w:pPr>
      <w:tabs>
        <w:tab w:val="left" w:pos="851"/>
      </w:tabs>
      <w:ind w:left="851" w:hanging="851"/>
      <w:jc w:val="both"/>
    </w:pPr>
    <w:rPr>
      <w:rFonts w:ascii="Arial" w:hAnsi="Arial"/>
      <w:sz w:val="22"/>
    </w:rPr>
  </w:style>
  <w:style w:type="paragraph" w:styleId="Textoindependiente2">
    <w:name w:val="Body Text 2"/>
    <w:basedOn w:val="Normal"/>
    <w:rsid w:val="00B1298D"/>
    <w:pPr>
      <w:tabs>
        <w:tab w:val="left" w:pos="851"/>
      </w:tabs>
      <w:ind w:right="360"/>
    </w:pPr>
    <w:rPr>
      <w:rFonts w:ascii="Arial" w:hAnsi="Arial"/>
      <w:sz w:val="22"/>
    </w:rPr>
  </w:style>
  <w:style w:type="paragraph" w:styleId="Sangradetextonormal">
    <w:name w:val="Body Text Indent"/>
    <w:basedOn w:val="Normal"/>
    <w:rsid w:val="00B1298D"/>
    <w:pPr>
      <w:ind w:left="1260" w:hanging="720"/>
      <w:jc w:val="both"/>
    </w:pPr>
    <w:rPr>
      <w:rFonts w:ascii="Tahoma" w:hAnsi="Tahoma" w:cs="Tahoma"/>
      <w:b/>
    </w:rPr>
  </w:style>
  <w:style w:type="paragraph" w:styleId="Sangra3detindependiente">
    <w:name w:val="Body Text Indent 3"/>
    <w:basedOn w:val="Normal"/>
    <w:rsid w:val="00B1298D"/>
    <w:pPr>
      <w:ind w:left="360"/>
      <w:jc w:val="both"/>
    </w:pPr>
    <w:rPr>
      <w:rFonts w:ascii="Arial" w:hAnsi="Arial" w:cs="Arial"/>
      <w:bCs/>
      <w:sz w:val="22"/>
    </w:rPr>
  </w:style>
  <w:style w:type="paragraph" w:customStyle="1" w:styleId="Textoindependiente1">
    <w:name w:val="Texto independiente1"/>
    <w:basedOn w:val="Normal"/>
    <w:rsid w:val="00B1298D"/>
    <w:pPr>
      <w:overflowPunct w:val="0"/>
      <w:autoSpaceDE w:val="0"/>
      <w:autoSpaceDN w:val="0"/>
      <w:adjustRightInd w:val="0"/>
      <w:jc w:val="both"/>
      <w:textAlignment w:val="baseline"/>
    </w:pPr>
    <w:rPr>
      <w:rFonts w:ascii="Arial" w:hAnsi="Arial"/>
      <w:lang w:val="es-ES_tradnl"/>
    </w:rPr>
  </w:style>
  <w:style w:type="paragraph" w:styleId="Textodeglobo">
    <w:name w:val="Balloon Text"/>
    <w:basedOn w:val="Normal"/>
    <w:semiHidden/>
    <w:rsid w:val="00205751"/>
    <w:rPr>
      <w:rFonts w:ascii="Tahoma" w:hAnsi="Tahoma" w:cs="Tahoma"/>
      <w:sz w:val="16"/>
      <w:szCs w:val="16"/>
    </w:rPr>
  </w:style>
  <w:style w:type="table" w:styleId="Tablaconcuadrcula">
    <w:name w:val="Table Grid"/>
    <w:basedOn w:val="Tablanormal"/>
    <w:uiPriority w:val="59"/>
    <w:rsid w:val="007D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2245E"/>
    <w:rPr>
      <w:lang w:val="es-ES_tradnl" w:eastAsia="en-US"/>
    </w:rPr>
  </w:style>
  <w:style w:type="paragraph" w:styleId="Textomacro">
    <w:name w:val="macro"/>
    <w:semiHidden/>
    <w:rsid w:val="00A51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BlockLine">
    <w:name w:val="Block Line"/>
    <w:basedOn w:val="Normal"/>
    <w:next w:val="Normal"/>
    <w:rsid w:val="00A51EF9"/>
    <w:pPr>
      <w:pBdr>
        <w:top w:val="single" w:sz="6" w:space="1" w:color="auto"/>
        <w:between w:val="single" w:sz="6" w:space="1" w:color="auto"/>
      </w:pBdr>
      <w:spacing w:before="240"/>
      <w:ind w:left="1700"/>
    </w:pPr>
    <w:rPr>
      <w:lang w:val="es-ES_tradnl" w:eastAsia="en-US"/>
    </w:rPr>
  </w:style>
  <w:style w:type="paragraph" w:styleId="Textodebloque">
    <w:name w:val="Block Text"/>
    <w:basedOn w:val="Normal"/>
    <w:rsid w:val="00A51EF9"/>
    <w:rPr>
      <w:lang w:val="es-ES_tradnl" w:eastAsia="en-US"/>
    </w:rPr>
  </w:style>
  <w:style w:type="paragraph" w:styleId="Prrafodelista">
    <w:name w:val="List Paragraph"/>
    <w:basedOn w:val="Normal"/>
    <w:uiPriority w:val="99"/>
    <w:qFormat/>
    <w:rsid w:val="005F094E"/>
    <w:pPr>
      <w:ind w:left="708"/>
    </w:pPr>
    <w:rPr>
      <w:rFonts w:ascii="Arial" w:eastAsia="Calibri" w:hAnsi="Arial"/>
      <w:sz w:val="24"/>
      <w:szCs w:val="22"/>
      <w:lang w:eastAsia="en-US"/>
    </w:rPr>
  </w:style>
  <w:style w:type="paragraph" w:styleId="Textocomentario">
    <w:name w:val="annotation text"/>
    <w:basedOn w:val="Normal"/>
    <w:link w:val="TextocomentarioCar"/>
    <w:uiPriority w:val="99"/>
    <w:rsid w:val="005F094E"/>
    <w:rPr>
      <w:rFonts w:ascii="Arial" w:eastAsia="Calibri" w:hAnsi="Arial"/>
      <w:lang w:eastAsia="en-US"/>
    </w:rPr>
  </w:style>
  <w:style w:type="character" w:customStyle="1" w:styleId="TextocomentarioCar">
    <w:name w:val="Texto comentario Car"/>
    <w:basedOn w:val="Fuentedeprrafopredeter"/>
    <w:link w:val="Textocomentario"/>
    <w:uiPriority w:val="99"/>
    <w:rsid w:val="005F094E"/>
    <w:rPr>
      <w:rFonts w:ascii="Arial" w:eastAsia="Calibri" w:hAnsi="Arial"/>
      <w:lang w:eastAsia="en-US"/>
    </w:rPr>
  </w:style>
  <w:style w:type="character" w:styleId="Hipervnculo">
    <w:name w:val="Hyperlink"/>
    <w:basedOn w:val="Fuentedeprrafopredeter"/>
    <w:uiPriority w:val="99"/>
    <w:rsid w:val="005F094E"/>
    <w:rPr>
      <w:rFonts w:cs="Times New Roman"/>
      <w:color w:val="0000FF"/>
      <w:u w:val="single"/>
    </w:rPr>
  </w:style>
  <w:style w:type="paragraph" w:customStyle="1" w:styleId="Para1">
    <w:name w:val="Para1"/>
    <w:basedOn w:val="Normal"/>
    <w:link w:val="Para1Char"/>
    <w:uiPriority w:val="99"/>
    <w:rsid w:val="005F094E"/>
    <w:pPr>
      <w:numPr>
        <w:numId w:val="1"/>
      </w:numPr>
      <w:spacing w:before="120" w:after="120"/>
      <w:jc w:val="both"/>
    </w:pPr>
    <w:rPr>
      <w:sz w:val="22"/>
      <w:szCs w:val="18"/>
      <w:lang w:val="en-GB" w:eastAsia="en-US"/>
    </w:rPr>
  </w:style>
  <w:style w:type="paragraph" w:customStyle="1" w:styleId="Para3">
    <w:name w:val="Para3"/>
    <w:basedOn w:val="Normal"/>
    <w:uiPriority w:val="99"/>
    <w:rsid w:val="005F094E"/>
    <w:pPr>
      <w:numPr>
        <w:ilvl w:val="2"/>
        <w:numId w:val="1"/>
      </w:numPr>
      <w:spacing w:before="80" w:after="80"/>
      <w:jc w:val="both"/>
    </w:pPr>
    <w:rPr>
      <w:sz w:val="22"/>
      <w:lang w:val="en-GB" w:eastAsia="en-US"/>
    </w:rPr>
  </w:style>
  <w:style w:type="paragraph" w:customStyle="1" w:styleId="Para4">
    <w:name w:val="Para4"/>
    <w:basedOn w:val="Para3"/>
    <w:uiPriority w:val="99"/>
    <w:rsid w:val="005F094E"/>
    <w:pPr>
      <w:numPr>
        <w:ilvl w:val="7"/>
      </w:numPr>
      <w:tabs>
        <w:tab w:val="left" w:pos="2552"/>
      </w:tabs>
    </w:pPr>
  </w:style>
  <w:style w:type="character" w:customStyle="1" w:styleId="Para1Char">
    <w:name w:val="Para1 Char"/>
    <w:basedOn w:val="Fuentedeprrafopredeter"/>
    <w:link w:val="Para1"/>
    <w:uiPriority w:val="99"/>
    <w:locked/>
    <w:rsid w:val="005F094E"/>
    <w:rPr>
      <w:sz w:val="22"/>
      <w:szCs w:val="18"/>
      <w:lang w:val="en-GB" w:eastAsia="en-US"/>
    </w:rPr>
  </w:style>
  <w:style w:type="character" w:styleId="Refdecomentario">
    <w:name w:val="annotation reference"/>
    <w:basedOn w:val="Fuentedeprrafopredeter"/>
    <w:rsid w:val="00422CBB"/>
    <w:rPr>
      <w:sz w:val="16"/>
      <w:szCs w:val="16"/>
    </w:rPr>
  </w:style>
  <w:style w:type="paragraph" w:styleId="Asuntodelcomentario">
    <w:name w:val="annotation subject"/>
    <w:basedOn w:val="Textocomentario"/>
    <w:next w:val="Textocomentario"/>
    <w:link w:val="AsuntodelcomentarioCar"/>
    <w:rsid w:val="00422CBB"/>
    <w:rPr>
      <w:rFonts w:ascii="Times New Roman" w:eastAsia="Times New Roman" w:hAnsi="Times New Roman"/>
      <w:b/>
      <w:bCs/>
      <w:lang w:eastAsia="es-ES"/>
    </w:rPr>
  </w:style>
  <w:style w:type="character" w:customStyle="1" w:styleId="AsuntodelcomentarioCar">
    <w:name w:val="Asunto del comentario Car"/>
    <w:basedOn w:val="TextocomentarioCar"/>
    <w:link w:val="Asuntodelcomentario"/>
    <w:rsid w:val="00422CBB"/>
    <w:rPr>
      <w:rFonts w:ascii="Arial" w:eastAsia="Calibri" w:hAnsi="Arial"/>
      <w:b/>
      <w:bCs/>
      <w:lang w:eastAsia="es-ES"/>
    </w:rPr>
  </w:style>
  <w:style w:type="paragraph" w:customStyle="1" w:styleId="Prrafodelista1">
    <w:name w:val="Párrafo de lista1"/>
    <w:basedOn w:val="Normal"/>
    <w:rsid w:val="001E185E"/>
    <w:pPr>
      <w:ind w:left="720"/>
      <w:contextualSpacing/>
    </w:pPr>
    <w:rPr>
      <w:rFonts w:ascii="Calibri" w:hAnsi="Calibri"/>
      <w:sz w:val="22"/>
      <w:szCs w:val="22"/>
      <w:lang w:val="es-ES" w:eastAsia="en-US"/>
    </w:rPr>
  </w:style>
  <w:style w:type="paragraph" w:customStyle="1" w:styleId="Default">
    <w:name w:val="Default"/>
    <w:rsid w:val="001E185E"/>
    <w:pPr>
      <w:autoSpaceDE w:val="0"/>
      <w:autoSpaceDN w:val="0"/>
      <w:adjustRightInd w:val="0"/>
    </w:pPr>
    <w:rPr>
      <w:rFonts w:eastAsiaTheme="minorHAnsi"/>
      <w:color w:val="000000"/>
      <w:sz w:val="24"/>
      <w:szCs w:val="24"/>
      <w:lang w:eastAsia="en-US"/>
    </w:rPr>
  </w:style>
  <w:style w:type="character" w:customStyle="1" w:styleId="Ttulo1Car">
    <w:name w:val="Título 1 Car"/>
    <w:basedOn w:val="Fuentedeprrafopredeter"/>
    <w:link w:val="Ttulo1"/>
    <w:rsid w:val="007F35EB"/>
    <w:rPr>
      <w:rFonts w:ascii="Arial" w:hAnsi="Arial"/>
      <w:b/>
      <w:sz w:val="28"/>
      <w:lang w:val="es-ES_tradnl" w:eastAsia="es-ES"/>
    </w:rPr>
  </w:style>
  <w:style w:type="character" w:customStyle="1" w:styleId="EncabezadoCar">
    <w:name w:val="Encabezado Car"/>
    <w:basedOn w:val="Fuentedeprrafopredeter"/>
    <w:link w:val="Encabezado"/>
    <w:uiPriority w:val="99"/>
    <w:rsid w:val="007F35EB"/>
    <w:rPr>
      <w:lang w:eastAsia="es-ES"/>
    </w:rPr>
  </w:style>
  <w:style w:type="character" w:customStyle="1" w:styleId="PiedepginaCar">
    <w:name w:val="Pie de página Car"/>
    <w:basedOn w:val="Fuentedeprrafopredeter"/>
    <w:link w:val="Piedepgina"/>
    <w:uiPriority w:val="99"/>
    <w:rsid w:val="00D639EB"/>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0695">
      <w:bodyDiv w:val="1"/>
      <w:marLeft w:val="0"/>
      <w:marRight w:val="0"/>
      <w:marTop w:val="0"/>
      <w:marBottom w:val="0"/>
      <w:divBdr>
        <w:top w:val="none" w:sz="0" w:space="0" w:color="auto"/>
        <w:left w:val="none" w:sz="0" w:space="0" w:color="auto"/>
        <w:bottom w:val="none" w:sz="0" w:space="0" w:color="auto"/>
        <w:right w:val="none" w:sz="0" w:space="0" w:color="auto"/>
      </w:divBdr>
    </w:div>
    <w:div w:id="779375479">
      <w:bodyDiv w:val="1"/>
      <w:marLeft w:val="0"/>
      <w:marRight w:val="0"/>
      <w:marTop w:val="0"/>
      <w:marBottom w:val="0"/>
      <w:divBdr>
        <w:top w:val="none" w:sz="0" w:space="0" w:color="auto"/>
        <w:left w:val="none" w:sz="0" w:space="0" w:color="auto"/>
        <w:bottom w:val="none" w:sz="0" w:space="0" w:color="auto"/>
        <w:right w:val="none" w:sz="0" w:space="0" w:color="auto"/>
      </w:divBdr>
    </w:div>
    <w:div w:id="11460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ctl15$W21272$BTypeSearch','law')" TargetMode="External"/><Relationship Id="rId18" Type="http://schemas.openxmlformats.org/officeDocument/2006/relationships/hyperlink" Target="https://bch.cbd.int/protocol/cpb_natreports.shtml?country=m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acyt.gob.mx/cibiogem/index.php/sistema-nacional-de-informacion/registro-nacional-bioseguridad-ogms" TargetMode="External"/><Relationship Id="rId7" Type="http://schemas.openxmlformats.org/officeDocument/2006/relationships/footnotes" Target="footnotes.xml"/><Relationship Id="rId12" Type="http://schemas.openxmlformats.org/officeDocument/2006/relationships/hyperlink" Target="javascript:__doPostBack('ctl15$W21272$BTypeSearch','biosafetyExpert')" TargetMode="External"/><Relationship Id="rId17" Type="http://schemas.openxmlformats.org/officeDocument/2006/relationships/hyperlink" Target="javascript:__doPostBack('ctl15$W21272$BTypeSearch','focalPo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__doPostBack('ctl15$W21272$BTypeSearch','nationalDatabase')" TargetMode="External"/><Relationship Id="rId20" Type="http://schemas.openxmlformats.org/officeDocument/2006/relationships/hyperlink" Target="http://www.cofepris.gob.mx/AZ/Paginas/OGMS/Lista.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PostBack('ctl15$W21272$BTypeSearch','riskAssessment')" TargetMode="External"/><Relationship Id="rId24" Type="http://schemas.openxmlformats.org/officeDocument/2006/relationships/hyperlink" Target="http://www.conacyt.mx/cibiogem/index.php/grupo-de-trabajo-de-expertos-de-mexico-para-colaborar-en-la-elaboracion-del-consensus-document-on-the-biology-of-aedes-aegypti" TargetMode="External"/><Relationship Id="rId5" Type="http://schemas.openxmlformats.org/officeDocument/2006/relationships/settings" Target="settings.xml"/><Relationship Id="rId15" Type="http://schemas.openxmlformats.org/officeDocument/2006/relationships/hyperlink" Target="javascript:__doPostBack('ctl15$W21272$BTypeSearch','news')" TargetMode="External"/><Relationship Id="rId23" Type="http://schemas.openxmlformats.org/officeDocument/2006/relationships/hyperlink" Target="http://www.conacyt.gob.mx" TargetMode="External"/><Relationship Id="rId28" Type="http://schemas.openxmlformats.org/officeDocument/2006/relationships/theme" Target="theme/theme1.xml"/><Relationship Id="rId10" Type="http://schemas.openxmlformats.org/officeDocument/2006/relationships/hyperlink" Target="javascript:__doPostBack('ctl15$W21272$BTypeSearch','decision')" TargetMode="External"/><Relationship Id="rId19" Type="http://schemas.openxmlformats.org/officeDocument/2006/relationships/hyperlink" Target="http://www.cofepris.gob.mx/AZ/Paginas/OGMS.aspx" TargetMode="External"/><Relationship Id="rId4" Type="http://schemas.microsoft.com/office/2007/relationships/stylesWithEffects" Target="stylesWithEffects.xml"/><Relationship Id="rId9" Type="http://schemas.openxmlformats.org/officeDocument/2006/relationships/hyperlink" Target="javascript:__doPostBack('ctl15$W21272$BTypeSearch','authority')" TargetMode="External"/><Relationship Id="rId14" Type="http://schemas.openxmlformats.org/officeDocument/2006/relationships/hyperlink" Target="javascript:__doPostBack('ctl15$W21272$BTypeSearch','capacityBuildingNeeds')" TargetMode="External"/><Relationship Id="rId22" Type="http://schemas.openxmlformats.org/officeDocument/2006/relationships/hyperlink" Target="http://www.cibiogem.gob.m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897B4-01D8-4286-91D3-33A3C3BE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6439</Words>
  <Characters>35415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1</vt:lpstr>
    </vt:vector>
  </TitlesOfParts>
  <Company>DGAF-SCT</Company>
  <LinksUpToDate>false</LinksUpToDate>
  <CharactersWithSpaces>41771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Jaime Echartea Mojica</dc:creator>
  <cp:lastModifiedBy>Marco Antonio Ramírez Velázquez</cp:lastModifiedBy>
  <cp:revision>2</cp:revision>
  <cp:lastPrinted>2014-03-20T18:40:00Z</cp:lastPrinted>
  <dcterms:created xsi:type="dcterms:W3CDTF">2015-04-15T14:54:00Z</dcterms:created>
  <dcterms:modified xsi:type="dcterms:W3CDTF">2015-04-15T14:54:00Z</dcterms:modified>
</cp:coreProperties>
</file>